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BC" w:rsidRDefault="00762CBC" w:rsidP="00762CBC">
      <w:pPr>
        <w:spacing w:after="0" w:line="240" w:lineRule="auto"/>
        <w:jc w:val="center"/>
        <w:rPr>
          <w:color w:val="1F497D" w:themeColor="text2"/>
        </w:rPr>
      </w:pPr>
      <w:r>
        <w:rPr>
          <w:rFonts w:ascii="Arial" w:hAnsi="Arial" w:cs="Arial"/>
          <w:noProof/>
          <w:lang w:eastAsia="fr-FR"/>
        </w:rPr>
        <w:drawing>
          <wp:inline distT="0" distB="0" distL="0" distR="0">
            <wp:extent cx="3180715" cy="437515"/>
            <wp:effectExtent l="0" t="0" r="635" b="635"/>
            <wp:docPr id="1" name="Image 1" descr="http://www.cci-paris-idf.fr/image/image_gallery?uuid=aa2e8369-7b52-4ab5-be46-47401f8c05c2&amp;groupId=10138&amp;t=135714363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i-paris-idf.fr/image/image_gallery?uuid=aa2e8369-7b52-4ab5-be46-47401f8c05c2&amp;groupId=10138&amp;t=135714363216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80715" cy="437515"/>
                    </a:xfrm>
                    <a:prstGeom prst="rect">
                      <a:avLst/>
                    </a:prstGeom>
                    <a:noFill/>
                    <a:ln>
                      <a:noFill/>
                    </a:ln>
                  </pic:spPr>
                </pic:pic>
              </a:graphicData>
            </a:graphic>
          </wp:inline>
        </w:drawing>
      </w:r>
    </w:p>
    <w:p w:rsidR="00762CBC" w:rsidRDefault="00762CBC" w:rsidP="00762CBC">
      <w:pPr>
        <w:spacing w:after="0" w:line="240" w:lineRule="auto"/>
        <w:rPr>
          <w:color w:val="1F497D" w:themeColor="text2"/>
        </w:rPr>
      </w:pPr>
    </w:p>
    <w:p w:rsidR="00762CBC" w:rsidRDefault="00762CBC" w:rsidP="00C75662">
      <w:pPr>
        <w:spacing w:after="0" w:line="240" w:lineRule="auto"/>
        <w:jc w:val="right"/>
        <w:rPr>
          <w:color w:val="1F497D" w:themeColor="text2"/>
        </w:rPr>
      </w:pPr>
    </w:p>
    <w:p w:rsidR="00C75662" w:rsidRDefault="00035505" w:rsidP="00C75662">
      <w:pPr>
        <w:spacing w:after="0" w:line="240" w:lineRule="auto"/>
        <w:jc w:val="right"/>
        <w:rPr>
          <w:color w:val="1F497D" w:themeColor="text2"/>
        </w:rPr>
      </w:pPr>
      <w:r>
        <w:rPr>
          <w:color w:val="1F497D" w:themeColor="text2"/>
        </w:rPr>
        <w:t>7 j</w:t>
      </w:r>
      <w:r w:rsidR="00C75662">
        <w:rPr>
          <w:color w:val="1F497D" w:themeColor="text2"/>
        </w:rPr>
        <w:t>uillet 2015</w:t>
      </w:r>
    </w:p>
    <w:p w:rsidR="00762CBC" w:rsidRDefault="00762CBC" w:rsidP="00C75662">
      <w:pPr>
        <w:spacing w:after="0" w:line="240" w:lineRule="auto"/>
        <w:jc w:val="right"/>
        <w:rPr>
          <w:color w:val="1F497D" w:themeColor="text2"/>
        </w:rPr>
      </w:pPr>
      <w:r>
        <w:rPr>
          <w:color w:val="1F497D" w:themeColor="text2"/>
        </w:rPr>
        <w:t>Dominique Moreno</w:t>
      </w:r>
    </w:p>
    <w:p w:rsidR="00C75662" w:rsidRDefault="00C75662" w:rsidP="00C75662">
      <w:pPr>
        <w:spacing w:after="0" w:line="240" w:lineRule="auto"/>
        <w:rPr>
          <w:color w:val="1F497D" w:themeColor="text2"/>
        </w:rPr>
      </w:pPr>
    </w:p>
    <w:p w:rsidR="00C75662" w:rsidRPr="00C75662" w:rsidRDefault="00035505" w:rsidP="00C75662">
      <w:pPr>
        <w:pBdr>
          <w:left w:val="single" w:sz="24" w:space="4" w:color="1F497D" w:themeColor="text2"/>
          <w:bottom w:val="single" w:sz="24" w:space="1" w:color="1F497D" w:themeColor="text2"/>
        </w:pBdr>
        <w:spacing w:after="0" w:line="240" w:lineRule="auto"/>
        <w:rPr>
          <w:b/>
          <w:color w:val="1F497D" w:themeColor="text2"/>
          <w:sz w:val="28"/>
        </w:rPr>
      </w:pPr>
      <w:r>
        <w:rPr>
          <w:b/>
          <w:color w:val="1F497D" w:themeColor="text2"/>
          <w:sz w:val="28"/>
        </w:rPr>
        <w:t xml:space="preserve">DÉCRET DU 3 juillet 2015 RELATIF AU </w:t>
      </w:r>
      <w:r w:rsidR="00695570" w:rsidRPr="00C75662">
        <w:rPr>
          <w:b/>
          <w:color w:val="1F497D" w:themeColor="text2"/>
          <w:sz w:val="28"/>
        </w:rPr>
        <w:t>CONTRAT DE REVITALISATION</w:t>
      </w:r>
      <w:r w:rsidR="00BA3DB9">
        <w:rPr>
          <w:b/>
          <w:color w:val="1F497D" w:themeColor="text2"/>
          <w:sz w:val="28"/>
        </w:rPr>
        <w:t xml:space="preserve"> ARTISANALE ET COMMERCIALE</w:t>
      </w:r>
    </w:p>
    <w:p w:rsidR="00C75662" w:rsidRDefault="00C75662" w:rsidP="00C75662">
      <w:pPr>
        <w:spacing w:after="0" w:line="240" w:lineRule="auto"/>
        <w:rPr>
          <w:color w:val="1F497D" w:themeColor="text2"/>
        </w:rPr>
      </w:pPr>
    </w:p>
    <w:p w:rsidR="00C75662" w:rsidRDefault="00C75662" w:rsidP="00C75662">
      <w:pPr>
        <w:spacing w:after="0" w:line="240" w:lineRule="auto"/>
        <w:rPr>
          <w:color w:val="1F497D" w:themeColor="text2"/>
        </w:rPr>
      </w:pPr>
    </w:p>
    <w:p w:rsidR="004768B8" w:rsidRDefault="00C75662" w:rsidP="00C75662">
      <w:pPr>
        <w:spacing w:after="0" w:line="240" w:lineRule="auto"/>
        <w:jc w:val="both"/>
        <w:rPr>
          <w:color w:val="1F497D" w:themeColor="text2"/>
        </w:rPr>
      </w:pPr>
      <w:r>
        <w:rPr>
          <w:color w:val="1F497D" w:themeColor="text2"/>
        </w:rPr>
        <w:t>Le décret n° 2015-815 du 3 juillet 2015 (JO du 5 juillet 2015 avec entrée en vigueur le 6 juillet 2015) détermine la procédure d’attribution à des opérateurs des contrats de revitalisation artisanale et commerciale prévus pour l’article 19 de la loi ACTPE</w:t>
      </w:r>
      <w:r w:rsidR="00B360E3">
        <w:rPr>
          <w:color w:val="1F497D" w:themeColor="text2"/>
        </w:rPr>
        <w:t xml:space="preserve"> du 18 juin 2014.</w:t>
      </w:r>
    </w:p>
    <w:p w:rsidR="00B360E3" w:rsidRDefault="00B360E3" w:rsidP="00C75662">
      <w:pPr>
        <w:spacing w:after="0" w:line="240" w:lineRule="auto"/>
        <w:jc w:val="both"/>
        <w:rPr>
          <w:color w:val="1F497D" w:themeColor="text2"/>
        </w:rPr>
      </w:pPr>
    </w:p>
    <w:p w:rsidR="00B360E3" w:rsidRDefault="00B360E3" w:rsidP="00C75662">
      <w:pPr>
        <w:spacing w:after="0" w:line="240" w:lineRule="auto"/>
        <w:jc w:val="both"/>
        <w:rPr>
          <w:color w:val="1F497D" w:themeColor="text2"/>
        </w:rPr>
      </w:pPr>
      <w:r>
        <w:rPr>
          <w:color w:val="1F497D" w:themeColor="text2"/>
        </w:rPr>
        <w:t xml:space="preserve">Cette procédure dépend de la part de risque assumée par l’opérateur et de seuils de montant </w:t>
      </w:r>
      <w:r w:rsidR="005911E6">
        <w:rPr>
          <w:color w:val="1F497D" w:themeColor="text2"/>
        </w:rPr>
        <w:t>de contrats d’où trois régimes distincts</w:t>
      </w:r>
      <w:r>
        <w:rPr>
          <w:color w:val="1F497D" w:themeColor="text2"/>
        </w:rPr>
        <w:t> : la concession, les marchés publics</w:t>
      </w:r>
      <w:r w:rsidR="005911E6">
        <w:rPr>
          <w:color w:val="1F497D" w:themeColor="text2"/>
        </w:rPr>
        <w:t xml:space="preserve"> et les contrats à procédure adaptée</w:t>
      </w:r>
      <w:r w:rsidR="00695570">
        <w:rPr>
          <w:color w:val="1F497D" w:themeColor="text2"/>
        </w:rPr>
        <w:t>.</w:t>
      </w:r>
    </w:p>
    <w:p w:rsidR="00695570" w:rsidRDefault="00695570" w:rsidP="00C75662">
      <w:pPr>
        <w:spacing w:after="0" w:line="240" w:lineRule="auto"/>
        <w:jc w:val="both"/>
        <w:rPr>
          <w:color w:val="1F497D" w:themeColor="text2"/>
        </w:rPr>
      </w:pPr>
    </w:p>
    <w:p w:rsidR="00695570" w:rsidRPr="00695570" w:rsidRDefault="00695570" w:rsidP="00695570">
      <w:pPr>
        <w:pStyle w:val="Paragraphedeliste"/>
        <w:numPr>
          <w:ilvl w:val="0"/>
          <w:numId w:val="1"/>
        </w:numPr>
        <w:spacing w:after="0" w:line="240" w:lineRule="auto"/>
        <w:ind w:left="284" w:hanging="284"/>
        <w:jc w:val="both"/>
        <w:rPr>
          <w:b/>
          <w:smallCaps/>
          <w:color w:val="1F497D" w:themeColor="text2"/>
        </w:rPr>
      </w:pPr>
      <w:r w:rsidRPr="00695570">
        <w:rPr>
          <w:b/>
          <w:smallCaps/>
          <w:color w:val="1F497D" w:themeColor="text2"/>
        </w:rPr>
        <w:t>Contrats soumis au droit européen des concessions</w:t>
      </w:r>
    </w:p>
    <w:p w:rsidR="00695570" w:rsidRDefault="00695570" w:rsidP="00695570">
      <w:pPr>
        <w:spacing w:after="0" w:line="240" w:lineRule="auto"/>
        <w:ind w:left="284" w:hanging="284"/>
        <w:jc w:val="both"/>
        <w:rPr>
          <w:color w:val="1F497D" w:themeColor="text2"/>
        </w:rPr>
      </w:pPr>
    </w:p>
    <w:p w:rsidR="00695570" w:rsidRPr="00695570" w:rsidRDefault="00695570" w:rsidP="00695570">
      <w:pPr>
        <w:pStyle w:val="Paragraphedeliste"/>
        <w:numPr>
          <w:ilvl w:val="1"/>
          <w:numId w:val="3"/>
        </w:numPr>
        <w:spacing w:after="0" w:line="240" w:lineRule="auto"/>
        <w:ind w:left="567" w:hanging="283"/>
        <w:jc w:val="both"/>
        <w:rPr>
          <w:b/>
          <w:color w:val="1F497D" w:themeColor="text2"/>
        </w:rPr>
      </w:pPr>
      <w:r w:rsidRPr="00695570">
        <w:rPr>
          <w:b/>
          <w:color w:val="1F497D" w:themeColor="text2"/>
        </w:rPr>
        <w:t>Conditions d’application</w:t>
      </w:r>
    </w:p>
    <w:p w:rsidR="00695570" w:rsidRDefault="00695570" w:rsidP="00695570">
      <w:pPr>
        <w:pStyle w:val="Paragraphedeliste"/>
        <w:spacing w:after="0" w:line="240" w:lineRule="auto"/>
        <w:jc w:val="both"/>
        <w:rPr>
          <w:color w:val="1F497D" w:themeColor="text2"/>
        </w:rPr>
      </w:pPr>
    </w:p>
    <w:p w:rsidR="00695570" w:rsidRDefault="00695570" w:rsidP="00695570">
      <w:pPr>
        <w:pStyle w:val="Paragraphedeliste"/>
        <w:numPr>
          <w:ilvl w:val="0"/>
          <w:numId w:val="2"/>
        </w:numPr>
        <w:spacing w:after="0" w:line="240" w:lineRule="auto"/>
        <w:jc w:val="both"/>
        <w:rPr>
          <w:color w:val="1F497D" w:themeColor="text2"/>
        </w:rPr>
      </w:pPr>
      <w:r>
        <w:rPr>
          <w:color w:val="1F497D" w:themeColor="text2"/>
        </w:rPr>
        <w:t>L’opérateur assume une part significative du risque économique de l’opération ;</w:t>
      </w:r>
    </w:p>
    <w:p w:rsidR="00695570" w:rsidRDefault="00695570" w:rsidP="00695570">
      <w:pPr>
        <w:pStyle w:val="Paragraphedeliste"/>
        <w:numPr>
          <w:ilvl w:val="0"/>
          <w:numId w:val="2"/>
        </w:numPr>
        <w:spacing w:after="0" w:line="240" w:lineRule="auto"/>
        <w:jc w:val="both"/>
        <w:rPr>
          <w:color w:val="1F497D" w:themeColor="text2"/>
        </w:rPr>
      </w:pPr>
      <w:r>
        <w:rPr>
          <w:color w:val="1F497D" w:themeColor="text2"/>
        </w:rPr>
        <w:t>Le montant total des produits est égal ou supérieur à 5 186 00 euros HT.</w:t>
      </w:r>
    </w:p>
    <w:p w:rsidR="00695570" w:rsidRDefault="00695570" w:rsidP="00695570">
      <w:pPr>
        <w:spacing w:after="0" w:line="240" w:lineRule="auto"/>
        <w:jc w:val="both"/>
        <w:rPr>
          <w:color w:val="1F497D" w:themeColor="text2"/>
        </w:rPr>
      </w:pPr>
    </w:p>
    <w:p w:rsidR="00695570" w:rsidRPr="00695570" w:rsidRDefault="00695570" w:rsidP="00695570">
      <w:pPr>
        <w:pStyle w:val="Paragraphedeliste"/>
        <w:numPr>
          <w:ilvl w:val="1"/>
          <w:numId w:val="3"/>
        </w:numPr>
        <w:spacing w:after="0" w:line="240" w:lineRule="auto"/>
        <w:ind w:left="567" w:hanging="283"/>
        <w:jc w:val="both"/>
        <w:rPr>
          <w:b/>
          <w:color w:val="1F497D" w:themeColor="text2"/>
        </w:rPr>
      </w:pPr>
      <w:r>
        <w:rPr>
          <w:b/>
          <w:color w:val="1F497D" w:themeColor="text2"/>
        </w:rPr>
        <w:t>Publication d’avis préalables</w:t>
      </w:r>
    </w:p>
    <w:p w:rsidR="00695570" w:rsidRDefault="00695570" w:rsidP="00695570">
      <w:pPr>
        <w:spacing w:after="0" w:line="240" w:lineRule="auto"/>
        <w:jc w:val="both"/>
        <w:rPr>
          <w:color w:val="1F497D" w:themeColor="text2"/>
        </w:rPr>
      </w:pPr>
    </w:p>
    <w:p w:rsidR="00695570" w:rsidRDefault="005911E6" w:rsidP="00695570">
      <w:pPr>
        <w:spacing w:after="0" w:line="240" w:lineRule="auto"/>
        <w:jc w:val="both"/>
        <w:rPr>
          <w:color w:val="1F497D" w:themeColor="text2"/>
        </w:rPr>
      </w:pPr>
      <w:r>
        <w:rPr>
          <w:color w:val="1F497D" w:themeColor="text2"/>
        </w:rPr>
        <w:t>D’une part, l</w:t>
      </w:r>
      <w:r w:rsidR="00695570">
        <w:rPr>
          <w:color w:val="1F497D" w:themeColor="text2"/>
        </w:rPr>
        <w:t>a personne publique initiatrice publie un avis préalable dans un journal d’annonces légales et une publication spécialisée d</w:t>
      </w:r>
      <w:r>
        <w:rPr>
          <w:color w:val="1F497D" w:themeColor="text2"/>
        </w:rPr>
        <w:t>u secteur économique concerné. C</w:t>
      </w:r>
      <w:r w:rsidR="00695570">
        <w:rPr>
          <w:color w:val="1F497D" w:themeColor="text2"/>
        </w:rPr>
        <w:t xml:space="preserve">onforme au modèle européen, il précise : </w:t>
      </w:r>
    </w:p>
    <w:p w:rsidR="00695570" w:rsidRDefault="00695570" w:rsidP="00695570">
      <w:pPr>
        <w:spacing w:after="0" w:line="240" w:lineRule="auto"/>
        <w:jc w:val="both"/>
        <w:rPr>
          <w:color w:val="1F497D" w:themeColor="text2"/>
        </w:rPr>
      </w:pPr>
    </w:p>
    <w:p w:rsidR="00695570" w:rsidRDefault="00695570" w:rsidP="00695570">
      <w:pPr>
        <w:pStyle w:val="Paragraphedeliste"/>
        <w:numPr>
          <w:ilvl w:val="0"/>
          <w:numId w:val="4"/>
        </w:numPr>
        <w:spacing w:after="0" w:line="240" w:lineRule="auto"/>
        <w:jc w:val="both"/>
        <w:rPr>
          <w:color w:val="1F497D" w:themeColor="text2"/>
        </w:rPr>
      </w:pPr>
      <w:r>
        <w:rPr>
          <w:color w:val="1F497D" w:themeColor="text2"/>
        </w:rPr>
        <w:t xml:space="preserve">La date limite de présentation des candidatures, sachant qu’un délai d’un mois au moins doit la séparer de la dernière des </w:t>
      </w:r>
      <w:r w:rsidR="002D5200">
        <w:rPr>
          <w:color w:val="1F497D" w:themeColor="text2"/>
        </w:rPr>
        <w:t>publications</w:t>
      </w:r>
      <w:r>
        <w:rPr>
          <w:color w:val="1F497D" w:themeColor="text2"/>
        </w:rPr>
        <w:t xml:space="preserve"> préci</w:t>
      </w:r>
      <w:r w:rsidR="002D5200">
        <w:rPr>
          <w:color w:val="1F497D" w:themeColor="text2"/>
        </w:rPr>
        <w:t>tées ;</w:t>
      </w:r>
    </w:p>
    <w:p w:rsidR="002D5200" w:rsidRDefault="002D5200" w:rsidP="00695570">
      <w:pPr>
        <w:pStyle w:val="Paragraphedeliste"/>
        <w:numPr>
          <w:ilvl w:val="0"/>
          <w:numId w:val="4"/>
        </w:numPr>
        <w:spacing w:after="0" w:line="240" w:lineRule="auto"/>
        <w:jc w:val="both"/>
        <w:rPr>
          <w:color w:val="1F497D" w:themeColor="text2"/>
        </w:rPr>
      </w:pPr>
      <w:r>
        <w:rPr>
          <w:color w:val="1F497D" w:themeColor="text2"/>
        </w:rPr>
        <w:t>Les caractéris</w:t>
      </w:r>
      <w:r w:rsidR="00EB4CEE">
        <w:rPr>
          <w:color w:val="1F497D" w:themeColor="text2"/>
        </w:rPr>
        <w:t>tiques essentielles de l’opération : objet, localisation, principes de financement.</w:t>
      </w:r>
    </w:p>
    <w:p w:rsidR="00EB4CEE" w:rsidRDefault="00EB4CEE" w:rsidP="00EB4CEE">
      <w:pPr>
        <w:spacing w:after="0" w:line="240" w:lineRule="auto"/>
        <w:jc w:val="both"/>
        <w:rPr>
          <w:color w:val="1F497D" w:themeColor="text2"/>
        </w:rPr>
      </w:pPr>
    </w:p>
    <w:p w:rsidR="00EB4CEE" w:rsidRDefault="00EB4CEE" w:rsidP="00EB4CEE">
      <w:pPr>
        <w:spacing w:after="0" w:line="240" w:lineRule="auto"/>
        <w:jc w:val="both"/>
        <w:rPr>
          <w:color w:val="1F497D" w:themeColor="text2"/>
        </w:rPr>
      </w:pPr>
      <w:r>
        <w:rPr>
          <w:color w:val="1F497D" w:themeColor="text2"/>
        </w:rPr>
        <w:t xml:space="preserve">D’autres </w:t>
      </w:r>
      <w:proofErr w:type="gramStart"/>
      <w:r>
        <w:rPr>
          <w:color w:val="1F497D" w:themeColor="text2"/>
        </w:rPr>
        <w:t>part</w:t>
      </w:r>
      <w:proofErr w:type="gramEnd"/>
      <w:r>
        <w:rPr>
          <w:color w:val="1F497D" w:themeColor="text2"/>
        </w:rPr>
        <w:t>, un avis (selon modèle européen) est adressé pour publication à l’Office des publications de l’Union européenne, sachant qu’au moins 52 jours doivent séparer la date de cet envoi et la date limite de présentation des candidatures, ce délai de 52 jours pouvant être réduit de 7 jours lorsque l’envoi est électronique.</w:t>
      </w:r>
    </w:p>
    <w:p w:rsidR="00EB4CEE" w:rsidRDefault="00EB4CEE" w:rsidP="00EB4CEE">
      <w:pPr>
        <w:spacing w:after="0" w:line="240" w:lineRule="auto"/>
        <w:jc w:val="both"/>
        <w:rPr>
          <w:color w:val="1F497D" w:themeColor="text2"/>
        </w:rPr>
      </w:pPr>
    </w:p>
    <w:p w:rsidR="00EB4CEE" w:rsidRPr="00EB4CEE" w:rsidRDefault="00EB4CEE" w:rsidP="00EB4CEE">
      <w:pPr>
        <w:pStyle w:val="Paragraphedeliste"/>
        <w:numPr>
          <w:ilvl w:val="1"/>
          <w:numId w:val="3"/>
        </w:numPr>
        <w:spacing w:after="0" w:line="240" w:lineRule="auto"/>
        <w:ind w:left="709" w:hanging="425"/>
        <w:jc w:val="both"/>
        <w:rPr>
          <w:b/>
          <w:color w:val="1F497D" w:themeColor="text2"/>
        </w:rPr>
      </w:pPr>
      <w:r>
        <w:rPr>
          <w:b/>
          <w:color w:val="1F497D" w:themeColor="text2"/>
        </w:rPr>
        <w:t>Information des candidats</w:t>
      </w:r>
    </w:p>
    <w:p w:rsidR="00EB4CEE" w:rsidRDefault="00EB4CEE" w:rsidP="00EB4CEE">
      <w:pPr>
        <w:spacing w:after="0" w:line="240" w:lineRule="auto"/>
        <w:jc w:val="both"/>
        <w:rPr>
          <w:color w:val="1F497D" w:themeColor="text2"/>
        </w:rPr>
      </w:pPr>
    </w:p>
    <w:p w:rsidR="00EB4CEE" w:rsidRDefault="00EB4CEE" w:rsidP="00EB4CEE">
      <w:pPr>
        <w:spacing w:after="0" w:line="240" w:lineRule="auto"/>
        <w:jc w:val="both"/>
        <w:rPr>
          <w:color w:val="1F497D" w:themeColor="text2"/>
        </w:rPr>
      </w:pPr>
      <w:r>
        <w:rPr>
          <w:color w:val="1F497D" w:themeColor="text2"/>
        </w:rPr>
        <w:t>La personne publique initiatrice adresse (la voie électronique est possible) à chaque candidat un document précisant :</w:t>
      </w:r>
    </w:p>
    <w:p w:rsidR="00EB4CEE" w:rsidRDefault="00EB4CEE" w:rsidP="00EB4CEE">
      <w:pPr>
        <w:spacing w:after="0" w:line="240" w:lineRule="auto"/>
        <w:jc w:val="both"/>
        <w:rPr>
          <w:color w:val="1F497D" w:themeColor="text2"/>
        </w:rPr>
      </w:pPr>
    </w:p>
    <w:p w:rsidR="00EB4CEE" w:rsidRDefault="00EB4CEE" w:rsidP="00EB4CEE">
      <w:pPr>
        <w:pStyle w:val="Paragraphedeliste"/>
        <w:numPr>
          <w:ilvl w:val="0"/>
          <w:numId w:val="4"/>
        </w:numPr>
        <w:spacing w:after="0" w:line="240" w:lineRule="auto"/>
        <w:jc w:val="both"/>
        <w:rPr>
          <w:color w:val="1F497D" w:themeColor="text2"/>
        </w:rPr>
      </w:pPr>
      <w:r>
        <w:rPr>
          <w:color w:val="1F497D" w:themeColor="text2"/>
        </w:rPr>
        <w:t>Les caractéristiques essentielles du projet de contrat avec les objectifs et les priorités en termes de diversification, de développement et de réhabilitation de l’offre commerciale ;</w:t>
      </w:r>
    </w:p>
    <w:p w:rsidR="00EB4CEE" w:rsidRDefault="00EB4CEE" w:rsidP="00EB4CEE">
      <w:pPr>
        <w:pStyle w:val="Paragraphedeliste"/>
        <w:numPr>
          <w:ilvl w:val="0"/>
          <w:numId w:val="4"/>
        </w:numPr>
        <w:spacing w:after="0" w:line="240" w:lineRule="auto"/>
        <w:jc w:val="both"/>
        <w:rPr>
          <w:color w:val="1F497D" w:themeColor="text2"/>
        </w:rPr>
      </w:pPr>
      <w:r>
        <w:rPr>
          <w:color w:val="1F497D" w:themeColor="text2"/>
        </w:rPr>
        <w:t>Le calendrier prévisionnel de réalisation de ces objectifs ;</w:t>
      </w:r>
    </w:p>
    <w:p w:rsidR="00EB4CEE" w:rsidRDefault="00EB4CEE" w:rsidP="00EB4CEE">
      <w:pPr>
        <w:pStyle w:val="Paragraphedeliste"/>
        <w:numPr>
          <w:ilvl w:val="0"/>
          <w:numId w:val="4"/>
        </w:numPr>
        <w:spacing w:after="0" w:line="240" w:lineRule="auto"/>
        <w:jc w:val="both"/>
        <w:rPr>
          <w:color w:val="1F497D" w:themeColor="text2"/>
        </w:rPr>
      </w:pPr>
      <w:r>
        <w:rPr>
          <w:color w:val="1F497D" w:themeColor="text2"/>
        </w:rPr>
        <w:t>Les caractéristiques essentielles et les conditions de mise en œuvre de l’opération ;</w:t>
      </w:r>
    </w:p>
    <w:p w:rsidR="00EB4CEE" w:rsidRDefault="00EB4CEE" w:rsidP="00EB4CEE">
      <w:pPr>
        <w:pStyle w:val="Paragraphedeliste"/>
        <w:numPr>
          <w:ilvl w:val="0"/>
          <w:numId w:val="4"/>
        </w:numPr>
        <w:spacing w:after="0" w:line="240" w:lineRule="auto"/>
        <w:jc w:val="both"/>
        <w:rPr>
          <w:color w:val="1F497D" w:themeColor="text2"/>
        </w:rPr>
      </w:pPr>
      <w:r>
        <w:rPr>
          <w:color w:val="1F497D" w:themeColor="text2"/>
        </w:rPr>
        <w:lastRenderedPageBreak/>
        <w:t>Les modalités et la date limite de réception des propositions des candidats, laquelle doit être postérieure d’au moins un mois à celle de l’envoi de ce document d’information.</w:t>
      </w:r>
    </w:p>
    <w:p w:rsidR="00EB4CEE" w:rsidRDefault="00EB4CEE" w:rsidP="00EB4CEE">
      <w:pPr>
        <w:spacing w:after="0" w:line="240" w:lineRule="auto"/>
        <w:jc w:val="both"/>
        <w:rPr>
          <w:color w:val="1F497D" w:themeColor="text2"/>
        </w:rPr>
      </w:pPr>
    </w:p>
    <w:p w:rsidR="00EB4CEE" w:rsidRPr="00EB4CEE" w:rsidRDefault="00EB4CEE" w:rsidP="00EB4CEE">
      <w:pPr>
        <w:pStyle w:val="Paragraphedeliste"/>
        <w:numPr>
          <w:ilvl w:val="1"/>
          <w:numId w:val="3"/>
        </w:numPr>
        <w:spacing w:after="0" w:line="240" w:lineRule="auto"/>
        <w:ind w:left="709" w:hanging="425"/>
        <w:jc w:val="both"/>
        <w:rPr>
          <w:b/>
          <w:color w:val="1F497D" w:themeColor="text2"/>
        </w:rPr>
      </w:pPr>
      <w:r>
        <w:rPr>
          <w:b/>
          <w:color w:val="1F497D" w:themeColor="text2"/>
        </w:rPr>
        <w:t>Critères de choix de l’opérateur</w:t>
      </w:r>
    </w:p>
    <w:p w:rsidR="00EB4CEE" w:rsidRDefault="00EB4CEE" w:rsidP="00EB4CEE">
      <w:pPr>
        <w:spacing w:after="0" w:line="240" w:lineRule="auto"/>
        <w:jc w:val="both"/>
        <w:rPr>
          <w:color w:val="1F497D" w:themeColor="text2"/>
        </w:rPr>
      </w:pPr>
    </w:p>
    <w:p w:rsidR="00EB4CEE" w:rsidRDefault="00EB4CEE" w:rsidP="00EB4CEE">
      <w:pPr>
        <w:spacing w:after="0" w:line="240" w:lineRule="auto"/>
        <w:jc w:val="both"/>
        <w:rPr>
          <w:color w:val="1F497D" w:themeColor="text2"/>
        </w:rPr>
      </w:pPr>
      <w:r>
        <w:rPr>
          <w:color w:val="1F497D" w:themeColor="text2"/>
        </w:rPr>
        <w:t xml:space="preserve">Doivent, notamment, être pris en compte : </w:t>
      </w:r>
    </w:p>
    <w:p w:rsidR="00EB4CEE" w:rsidRDefault="00EB4CEE" w:rsidP="00EB4CEE">
      <w:pPr>
        <w:spacing w:after="0" w:line="240" w:lineRule="auto"/>
        <w:jc w:val="both"/>
        <w:rPr>
          <w:color w:val="1F497D" w:themeColor="text2"/>
        </w:rPr>
      </w:pPr>
    </w:p>
    <w:p w:rsidR="00EB4CEE" w:rsidRDefault="0083585C" w:rsidP="00EB4CEE">
      <w:pPr>
        <w:pStyle w:val="Paragraphedeliste"/>
        <w:numPr>
          <w:ilvl w:val="0"/>
          <w:numId w:val="4"/>
        </w:numPr>
        <w:spacing w:after="0" w:line="240" w:lineRule="auto"/>
        <w:jc w:val="both"/>
        <w:rPr>
          <w:color w:val="1F497D" w:themeColor="text2"/>
        </w:rPr>
      </w:pPr>
      <w:r>
        <w:rPr>
          <w:color w:val="1F497D" w:themeColor="text2"/>
        </w:rPr>
        <w:t>Les capacités techniques et financières ;</w:t>
      </w:r>
    </w:p>
    <w:p w:rsidR="0083585C" w:rsidRDefault="0083585C" w:rsidP="00EB4CEE">
      <w:pPr>
        <w:pStyle w:val="Paragraphedeliste"/>
        <w:numPr>
          <w:ilvl w:val="0"/>
          <w:numId w:val="4"/>
        </w:numPr>
        <w:spacing w:after="0" w:line="240" w:lineRule="auto"/>
        <w:jc w:val="both"/>
        <w:rPr>
          <w:color w:val="1F497D" w:themeColor="text2"/>
        </w:rPr>
      </w:pPr>
      <w:r>
        <w:rPr>
          <w:color w:val="1F497D" w:themeColor="text2"/>
        </w:rPr>
        <w:t xml:space="preserve">L’aptitude à conduire l’opération. </w:t>
      </w:r>
    </w:p>
    <w:p w:rsidR="00EB4CEE" w:rsidRDefault="00EB4CEE" w:rsidP="00EB4CEE">
      <w:pPr>
        <w:spacing w:after="0" w:line="240" w:lineRule="auto"/>
        <w:jc w:val="both"/>
        <w:rPr>
          <w:color w:val="1F497D" w:themeColor="text2"/>
        </w:rPr>
      </w:pPr>
    </w:p>
    <w:p w:rsidR="0083585C" w:rsidRDefault="0083585C" w:rsidP="00EB4CEE">
      <w:pPr>
        <w:spacing w:after="0" w:line="240" w:lineRule="auto"/>
        <w:jc w:val="both"/>
        <w:rPr>
          <w:color w:val="1F497D" w:themeColor="text2"/>
        </w:rPr>
      </w:pPr>
      <w:r>
        <w:rPr>
          <w:color w:val="1F497D" w:themeColor="text2"/>
        </w:rPr>
        <w:t xml:space="preserve">La personne publique </w:t>
      </w:r>
      <w:proofErr w:type="spellStart"/>
      <w:r>
        <w:rPr>
          <w:color w:val="1F497D" w:themeColor="text2"/>
        </w:rPr>
        <w:t>attributrice</w:t>
      </w:r>
      <w:proofErr w:type="spellEnd"/>
      <w:r>
        <w:rPr>
          <w:color w:val="1F497D" w:themeColor="text2"/>
        </w:rPr>
        <w:t xml:space="preserve"> engage librement toute discussion utile avec les candidats ayant remis une proposition. Ces échanges sont importants dans un domaine où </w:t>
      </w:r>
      <w:r w:rsidRPr="00CD0B3A">
        <w:rPr>
          <w:i/>
          <w:color w:val="1F497D" w:themeColor="text2"/>
        </w:rPr>
        <w:t>l’intuitu personae</w:t>
      </w:r>
      <w:r>
        <w:rPr>
          <w:color w:val="1F497D" w:themeColor="text2"/>
        </w:rPr>
        <w:t xml:space="preserve"> est déterminant.</w:t>
      </w:r>
    </w:p>
    <w:p w:rsidR="0083585C" w:rsidRDefault="0083585C" w:rsidP="00EB4CEE">
      <w:pPr>
        <w:spacing w:after="0" w:line="240" w:lineRule="auto"/>
        <w:jc w:val="both"/>
        <w:rPr>
          <w:color w:val="1F497D" w:themeColor="text2"/>
        </w:rPr>
      </w:pPr>
    </w:p>
    <w:p w:rsidR="0083585C" w:rsidRPr="0083585C" w:rsidRDefault="0083585C" w:rsidP="0083585C">
      <w:pPr>
        <w:pStyle w:val="Paragraphedeliste"/>
        <w:numPr>
          <w:ilvl w:val="1"/>
          <w:numId w:val="3"/>
        </w:numPr>
        <w:spacing w:after="0" w:line="240" w:lineRule="auto"/>
        <w:ind w:left="709" w:hanging="425"/>
        <w:jc w:val="both"/>
        <w:rPr>
          <w:b/>
          <w:color w:val="1F497D" w:themeColor="text2"/>
        </w:rPr>
      </w:pPr>
      <w:r>
        <w:rPr>
          <w:b/>
          <w:color w:val="1F497D" w:themeColor="text2"/>
        </w:rPr>
        <w:t>Procédure de choix</w:t>
      </w:r>
    </w:p>
    <w:p w:rsidR="0083585C" w:rsidRPr="00EB4CEE" w:rsidRDefault="0083585C" w:rsidP="00EB4CEE">
      <w:pPr>
        <w:spacing w:after="0" w:line="240" w:lineRule="auto"/>
        <w:jc w:val="both"/>
        <w:rPr>
          <w:color w:val="1F497D" w:themeColor="text2"/>
        </w:rPr>
      </w:pPr>
    </w:p>
    <w:p w:rsidR="00EB4CEE" w:rsidRDefault="0083585C" w:rsidP="00EB4CEE">
      <w:pPr>
        <w:spacing w:after="0" w:line="240" w:lineRule="auto"/>
        <w:jc w:val="both"/>
        <w:rPr>
          <w:color w:val="1F497D" w:themeColor="text2"/>
        </w:rPr>
      </w:pPr>
      <w:r>
        <w:rPr>
          <w:color w:val="1F497D" w:themeColor="text2"/>
        </w:rPr>
        <w:t>Sont visées ici les collectivités t</w:t>
      </w:r>
      <w:r w:rsidR="00CD0B3A">
        <w:rPr>
          <w:color w:val="1F497D" w:themeColor="text2"/>
        </w:rPr>
        <w:t>erritoriales ou leur groupement :</w:t>
      </w:r>
    </w:p>
    <w:p w:rsidR="0083585C" w:rsidRDefault="0083585C" w:rsidP="00EB4CEE">
      <w:pPr>
        <w:spacing w:after="0" w:line="240" w:lineRule="auto"/>
        <w:jc w:val="both"/>
        <w:rPr>
          <w:color w:val="1F497D" w:themeColor="text2"/>
        </w:rPr>
      </w:pPr>
    </w:p>
    <w:p w:rsidR="0083585C" w:rsidRDefault="0083585C" w:rsidP="0083585C">
      <w:pPr>
        <w:pStyle w:val="Paragraphedeliste"/>
        <w:numPr>
          <w:ilvl w:val="0"/>
          <w:numId w:val="4"/>
        </w:numPr>
        <w:spacing w:after="0" w:line="240" w:lineRule="auto"/>
        <w:jc w:val="both"/>
        <w:rPr>
          <w:color w:val="1F497D" w:themeColor="text2"/>
        </w:rPr>
      </w:pPr>
      <w:r>
        <w:rPr>
          <w:color w:val="1F497D" w:themeColor="text2"/>
        </w:rPr>
        <w:t>L’organe délibérant désigne, en son sein à la représentation proportionnelle à la plus forte moyenne, les membres de la Commission qui doit émettre</w:t>
      </w:r>
      <w:r w:rsidR="00E91825">
        <w:rPr>
          <w:color w:val="1F497D" w:themeColor="text2"/>
        </w:rPr>
        <w:t xml:space="preserve"> un avis sur les propositions reçues avant tout engagement des discussions.</w:t>
      </w:r>
    </w:p>
    <w:p w:rsidR="00E91825" w:rsidRDefault="00E91825" w:rsidP="0083585C">
      <w:pPr>
        <w:pStyle w:val="Paragraphedeliste"/>
        <w:numPr>
          <w:ilvl w:val="0"/>
          <w:numId w:val="4"/>
        </w:numPr>
        <w:spacing w:after="0" w:line="240" w:lineRule="auto"/>
        <w:jc w:val="both"/>
        <w:rPr>
          <w:color w:val="1F497D" w:themeColor="text2"/>
        </w:rPr>
      </w:pPr>
      <w:r>
        <w:rPr>
          <w:color w:val="1F497D" w:themeColor="text2"/>
        </w:rPr>
        <w:t>Ce même organe délibérant désigne également la personne habilitée à engager les discussions et à signer le contrat, laquelle peut recueillir l’avis de la Commission à tout moment.</w:t>
      </w:r>
    </w:p>
    <w:p w:rsidR="00E91825" w:rsidRDefault="00E91825" w:rsidP="0083585C">
      <w:pPr>
        <w:pStyle w:val="Paragraphedeliste"/>
        <w:numPr>
          <w:ilvl w:val="0"/>
          <w:numId w:val="4"/>
        </w:numPr>
        <w:spacing w:after="0" w:line="240" w:lineRule="auto"/>
        <w:jc w:val="both"/>
        <w:rPr>
          <w:color w:val="1F497D" w:themeColor="text2"/>
        </w:rPr>
      </w:pPr>
      <w:r>
        <w:rPr>
          <w:color w:val="1F497D" w:themeColor="text2"/>
        </w:rPr>
        <w:t>C’est toujours l’organe délibérant qui choisit l’opérateur, sur proposition de la personne habilitée précitée ou des avis émis par la Commission.</w:t>
      </w:r>
    </w:p>
    <w:p w:rsidR="00E91825" w:rsidRDefault="00E91825" w:rsidP="00E91825">
      <w:pPr>
        <w:spacing w:after="0" w:line="240" w:lineRule="auto"/>
        <w:jc w:val="both"/>
        <w:rPr>
          <w:color w:val="1F497D" w:themeColor="text2"/>
        </w:rPr>
      </w:pPr>
    </w:p>
    <w:p w:rsidR="00E91825" w:rsidRPr="0083585C" w:rsidRDefault="00E91825" w:rsidP="00E91825">
      <w:pPr>
        <w:pStyle w:val="Paragraphedeliste"/>
        <w:numPr>
          <w:ilvl w:val="1"/>
          <w:numId w:val="3"/>
        </w:numPr>
        <w:spacing w:after="0" w:line="240" w:lineRule="auto"/>
        <w:ind w:left="709" w:hanging="425"/>
        <w:jc w:val="both"/>
        <w:rPr>
          <w:b/>
          <w:color w:val="1F497D" w:themeColor="text2"/>
        </w:rPr>
      </w:pPr>
      <w:r>
        <w:rPr>
          <w:b/>
          <w:color w:val="1F497D" w:themeColor="text2"/>
        </w:rPr>
        <w:t>Notification du choix</w:t>
      </w:r>
    </w:p>
    <w:p w:rsidR="00E91825" w:rsidRDefault="00E91825" w:rsidP="00E91825">
      <w:pPr>
        <w:spacing w:after="0" w:line="240" w:lineRule="auto"/>
        <w:jc w:val="both"/>
        <w:rPr>
          <w:color w:val="1F497D" w:themeColor="text2"/>
        </w:rPr>
      </w:pPr>
    </w:p>
    <w:p w:rsidR="00E91825" w:rsidRDefault="00E91825" w:rsidP="00E91825">
      <w:pPr>
        <w:pStyle w:val="Paragraphedeliste"/>
        <w:numPr>
          <w:ilvl w:val="0"/>
          <w:numId w:val="4"/>
        </w:numPr>
        <w:spacing w:after="0" w:line="240" w:lineRule="auto"/>
        <w:jc w:val="both"/>
        <w:rPr>
          <w:color w:val="1F497D" w:themeColor="text2"/>
        </w:rPr>
      </w:pPr>
      <w:r>
        <w:rPr>
          <w:color w:val="1F497D" w:themeColor="text2"/>
        </w:rPr>
        <w:t xml:space="preserve">Une fois le choix effectué, la personne publique </w:t>
      </w:r>
      <w:proofErr w:type="spellStart"/>
      <w:r>
        <w:rPr>
          <w:color w:val="1F497D" w:themeColor="text2"/>
        </w:rPr>
        <w:t>attributrice</w:t>
      </w:r>
      <w:proofErr w:type="spellEnd"/>
      <w:r>
        <w:rPr>
          <w:color w:val="1F497D" w:themeColor="text2"/>
        </w:rPr>
        <w:t xml:space="preserve"> notifie à tous les autres candidats le rejet de leur candidature ou de leur offre, avec les motifs.</w:t>
      </w:r>
    </w:p>
    <w:p w:rsidR="00E91825" w:rsidRDefault="00E91825" w:rsidP="00E91825">
      <w:pPr>
        <w:pStyle w:val="Paragraphedeliste"/>
        <w:numPr>
          <w:ilvl w:val="0"/>
          <w:numId w:val="4"/>
        </w:numPr>
        <w:spacing w:after="0" w:line="240" w:lineRule="auto"/>
        <w:jc w:val="both"/>
        <w:rPr>
          <w:color w:val="1F497D" w:themeColor="text2"/>
        </w:rPr>
      </w:pPr>
      <w:r>
        <w:rPr>
          <w:color w:val="1F497D" w:themeColor="text2"/>
        </w:rPr>
        <w:t>Cette notification comporte le nom de l’attributaire et la motivation ayant emporté ce choix.</w:t>
      </w:r>
    </w:p>
    <w:p w:rsidR="00E91825" w:rsidRDefault="00E91825" w:rsidP="00E91825">
      <w:pPr>
        <w:pStyle w:val="Paragraphedeliste"/>
        <w:numPr>
          <w:ilvl w:val="0"/>
          <w:numId w:val="4"/>
        </w:numPr>
        <w:spacing w:after="0" w:line="240" w:lineRule="auto"/>
        <w:jc w:val="both"/>
        <w:rPr>
          <w:color w:val="1F497D" w:themeColor="text2"/>
        </w:rPr>
      </w:pPr>
      <w:r>
        <w:rPr>
          <w:color w:val="1F497D" w:themeColor="text2"/>
        </w:rPr>
        <w:t>Le contrat ne peut être conclu qu’au moins 16 jours après l’envoi de la notification (11 jours en cas de transmission électronique à l’ensemble des candidats). Ce délai est d’ailleurs mentionné dans la notification.</w:t>
      </w:r>
    </w:p>
    <w:p w:rsidR="00E91825" w:rsidRDefault="00E91825" w:rsidP="00E91825">
      <w:pPr>
        <w:spacing w:after="0" w:line="240" w:lineRule="auto"/>
        <w:jc w:val="both"/>
        <w:rPr>
          <w:color w:val="1F497D" w:themeColor="text2"/>
        </w:rPr>
      </w:pPr>
    </w:p>
    <w:p w:rsidR="00E91825" w:rsidRDefault="00E91825" w:rsidP="00E91825">
      <w:pPr>
        <w:spacing w:after="0" w:line="240" w:lineRule="auto"/>
        <w:jc w:val="both"/>
        <w:rPr>
          <w:color w:val="1F497D" w:themeColor="text2"/>
        </w:rPr>
      </w:pPr>
      <w:r>
        <w:rPr>
          <w:color w:val="1F497D" w:themeColor="text2"/>
        </w:rPr>
        <w:t>Ces délais ne sont pas applicables en cas de candidat unique.</w:t>
      </w:r>
    </w:p>
    <w:p w:rsidR="00E91825" w:rsidRDefault="00E91825" w:rsidP="00E91825">
      <w:pPr>
        <w:spacing w:after="0" w:line="240" w:lineRule="auto"/>
        <w:jc w:val="both"/>
        <w:rPr>
          <w:color w:val="1F497D" w:themeColor="text2"/>
        </w:rPr>
      </w:pPr>
    </w:p>
    <w:p w:rsidR="00E91825" w:rsidRPr="00E91825" w:rsidRDefault="00E91825" w:rsidP="00E91825">
      <w:pPr>
        <w:pStyle w:val="Paragraphedeliste"/>
        <w:numPr>
          <w:ilvl w:val="1"/>
          <w:numId w:val="3"/>
        </w:numPr>
        <w:spacing w:after="0" w:line="240" w:lineRule="auto"/>
        <w:ind w:left="709" w:hanging="425"/>
        <w:jc w:val="both"/>
        <w:rPr>
          <w:b/>
          <w:color w:val="1F497D" w:themeColor="text2"/>
        </w:rPr>
      </w:pPr>
      <w:r>
        <w:rPr>
          <w:b/>
          <w:color w:val="1F497D" w:themeColor="text2"/>
        </w:rPr>
        <w:t>Publication d’un avis d’attribution</w:t>
      </w:r>
    </w:p>
    <w:p w:rsidR="00E91825" w:rsidRDefault="00E91825" w:rsidP="00E91825">
      <w:pPr>
        <w:spacing w:after="0" w:line="240" w:lineRule="auto"/>
        <w:jc w:val="both"/>
        <w:rPr>
          <w:color w:val="1F497D" w:themeColor="text2"/>
        </w:rPr>
      </w:pPr>
    </w:p>
    <w:p w:rsidR="00E91825" w:rsidRDefault="00E91825" w:rsidP="00E91825">
      <w:pPr>
        <w:spacing w:after="0" w:line="240" w:lineRule="auto"/>
        <w:jc w:val="both"/>
        <w:rPr>
          <w:color w:val="1F497D" w:themeColor="text2"/>
        </w:rPr>
      </w:pPr>
      <w:r>
        <w:rPr>
          <w:color w:val="1F497D" w:themeColor="text2"/>
        </w:rPr>
        <w:t>Conforme au modèle européen, l’avis d’attribution est envoyé par la pers</w:t>
      </w:r>
      <w:r w:rsidR="00CD0B3A">
        <w:rPr>
          <w:color w:val="1F497D" w:themeColor="text2"/>
        </w:rPr>
        <w:t xml:space="preserve">onne publique </w:t>
      </w:r>
      <w:proofErr w:type="spellStart"/>
      <w:r w:rsidR="00CD0B3A">
        <w:rPr>
          <w:color w:val="1F497D" w:themeColor="text2"/>
        </w:rPr>
        <w:t>attributrice</w:t>
      </w:r>
      <w:proofErr w:type="spellEnd"/>
      <w:r w:rsidR="00CD0B3A">
        <w:rPr>
          <w:color w:val="1F497D" w:themeColor="text2"/>
        </w:rPr>
        <w:t xml:space="preserve"> à l’Office européen </w:t>
      </w:r>
      <w:r>
        <w:rPr>
          <w:color w:val="1F497D" w:themeColor="text2"/>
        </w:rPr>
        <w:t>et aux publications d’annonces légales ou spécialisées précités.</w:t>
      </w:r>
    </w:p>
    <w:p w:rsidR="00E91825" w:rsidRDefault="00E91825" w:rsidP="00E91825">
      <w:pPr>
        <w:spacing w:after="0" w:line="240" w:lineRule="auto"/>
        <w:jc w:val="both"/>
        <w:rPr>
          <w:color w:val="1F497D" w:themeColor="text2"/>
        </w:rPr>
      </w:pPr>
    </w:p>
    <w:p w:rsidR="00E91825" w:rsidRPr="00695570" w:rsidRDefault="00E91825" w:rsidP="00E91825">
      <w:pPr>
        <w:pStyle w:val="Paragraphedeliste"/>
        <w:numPr>
          <w:ilvl w:val="0"/>
          <w:numId w:val="1"/>
        </w:numPr>
        <w:spacing w:after="0" w:line="240" w:lineRule="auto"/>
        <w:ind w:left="284" w:hanging="284"/>
        <w:jc w:val="both"/>
        <w:rPr>
          <w:b/>
          <w:smallCaps/>
          <w:color w:val="1F497D" w:themeColor="text2"/>
        </w:rPr>
      </w:pPr>
      <w:r w:rsidRPr="00695570">
        <w:rPr>
          <w:b/>
          <w:smallCaps/>
          <w:color w:val="1F497D" w:themeColor="text2"/>
        </w:rPr>
        <w:t xml:space="preserve">Contrats </w:t>
      </w:r>
      <w:r w:rsidR="00200029">
        <w:rPr>
          <w:b/>
          <w:smallCaps/>
          <w:color w:val="1F497D" w:themeColor="text2"/>
        </w:rPr>
        <w:t>soumis au droit européen des marchés publics</w:t>
      </w:r>
    </w:p>
    <w:p w:rsidR="00E91825" w:rsidRDefault="00E91825" w:rsidP="00E91825">
      <w:pPr>
        <w:spacing w:after="0" w:line="240" w:lineRule="auto"/>
        <w:jc w:val="both"/>
        <w:rPr>
          <w:color w:val="1F497D" w:themeColor="text2"/>
        </w:rPr>
      </w:pPr>
    </w:p>
    <w:p w:rsidR="00200029" w:rsidRPr="00200029" w:rsidRDefault="00200029" w:rsidP="00200029">
      <w:pPr>
        <w:pStyle w:val="Paragraphedeliste"/>
        <w:numPr>
          <w:ilvl w:val="1"/>
          <w:numId w:val="9"/>
        </w:numPr>
        <w:spacing w:after="0" w:line="240" w:lineRule="auto"/>
        <w:ind w:left="709" w:hanging="425"/>
        <w:jc w:val="both"/>
        <w:rPr>
          <w:b/>
          <w:color w:val="1F497D" w:themeColor="text2"/>
        </w:rPr>
      </w:pPr>
      <w:r>
        <w:rPr>
          <w:b/>
          <w:color w:val="1F497D" w:themeColor="text2"/>
        </w:rPr>
        <w:t>Conditions d’application</w:t>
      </w:r>
    </w:p>
    <w:p w:rsidR="00200029" w:rsidRDefault="00200029" w:rsidP="00E91825">
      <w:pPr>
        <w:spacing w:after="0" w:line="240" w:lineRule="auto"/>
        <w:jc w:val="both"/>
        <w:rPr>
          <w:color w:val="1F497D" w:themeColor="text2"/>
        </w:rPr>
      </w:pPr>
    </w:p>
    <w:p w:rsidR="00200029" w:rsidRDefault="00200029" w:rsidP="00200029">
      <w:pPr>
        <w:pStyle w:val="Paragraphedeliste"/>
        <w:numPr>
          <w:ilvl w:val="0"/>
          <w:numId w:val="4"/>
        </w:numPr>
        <w:spacing w:after="0" w:line="240" w:lineRule="auto"/>
        <w:jc w:val="both"/>
        <w:rPr>
          <w:color w:val="1F497D" w:themeColor="text2"/>
        </w:rPr>
      </w:pPr>
      <w:r>
        <w:rPr>
          <w:color w:val="1F497D" w:themeColor="text2"/>
        </w:rPr>
        <w:t>L’opérateur n’assume pas une part significative du risque économique ;</w:t>
      </w:r>
    </w:p>
    <w:p w:rsidR="00200029" w:rsidRDefault="00200029" w:rsidP="00200029">
      <w:pPr>
        <w:pStyle w:val="Paragraphedeliste"/>
        <w:numPr>
          <w:ilvl w:val="0"/>
          <w:numId w:val="4"/>
        </w:numPr>
        <w:spacing w:after="0" w:line="240" w:lineRule="auto"/>
        <w:jc w:val="both"/>
        <w:rPr>
          <w:color w:val="1F497D" w:themeColor="text2"/>
        </w:rPr>
      </w:pPr>
      <w:r>
        <w:rPr>
          <w:color w:val="1F497D" w:themeColor="text2"/>
        </w:rPr>
        <w:t>Le montant total des produits est égal ou supérieur à 134 000 euros HT pour les marchés de l’Etat et ses établissements publics ou à 207 000 euros HT pour ceux des collectivités locales et leurs établissements publics.</w:t>
      </w:r>
    </w:p>
    <w:p w:rsidR="00200029" w:rsidRDefault="00200029" w:rsidP="00200029">
      <w:pPr>
        <w:spacing w:after="0" w:line="240" w:lineRule="auto"/>
        <w:jc w:val="both"/>
        <w:rPr>
          <w:color w:val="1F497D" w:themeColor="text2"/>
        </w:rPr>
      </w:pPr>
    </w:p>
    <w:p w:rsidR="00200029" w:rsidRPr="00200029" w:rsidRDefault="00200029" w:rsidP="00200029">
      <w:pPr>
        <w:pStyle w:val="Paragraphedeliste"/>
        <w:numPr>
          <w:ilvl w:val="1"/>
          <w:numId w:val="9"/>
        </w:numPr>
        <w:spacing w:after="0" w:line="240" w:lineRule="auto"/>
        <w:ind w:left="709" w:hanging="425"/>
        <w:jc w:val="both"/>
        <w:rPr>
          <w:b/>
          <w:color w:val="1F497D" w:themeColor="text2"/>
        </w:rPr>
      </w:pPr>
      <w:r>
        <w:rPr>
          <w:b/>
          <w:color w:val="1F497D" w:themeColor="text2"/>
        </w:rPr>
        <w:lastRenderedPageBreak/>
        <w:t>Publication d’avis préalables</w:t>
      </w:r>
    </w:p>
    <w:p w:rsidR="00200029" w:rsidRDefault="00200029" w:rsidP="00200029">
      <w:pPr>
        <w:spacing w:after="0" w:line="240" w:lineRule="auto"/>
        <w:jc w:val="both"/>
        <w:rPr>
          <w:color w:val="1F497D" w:themeColor="text2"/>
        </w:rPr>
      </w:pPr>
    </w:p>
    <w:p w:rsidR="00CD0B3A" w:rsidRDefault="00200029" w:rsidP="00200029">
      <w:pPr>
        <w:spacing w:after="0" w:line="240" w:lineRule="auto"/>
        <w:jc w:val="both"/>
        <w:rPr>
          <w:color w:val="1F497D" w:themeColor="text2"/>
        </w:rPr>
      </w:pPr>
      <w:r>
        <w:rPr>
          <w:color w:val="1F497D" w:themeColor="text2"/>
        </w:rPr>
        <w:t>Idem 1.2</w:t>
      </w:r>
    </w:p>
    <w:p w:rsidR="00CD0B3A" w:rsidRDefault="00CD0B3A" w:rsidP="00200029">
      <w:pPr>
        <w:spacing w:after="0" w:line="240" w:lineRule="auto"/>
        <w:jc w:val="both"/>
        <w:rPr>
          <w:color w:val="1F497D" w:themeColor="text2"/>
        </w:rPr>
      </w:pPr>
    </w:p>
    <w:p w:rsidR="00200029" w:rsidRPr="00200029" w:rsidRDefault="00200029" w:rsidP="00200029">
      <w:pPr>
        <w:pStyle w:val="Paragraphedeliste"/>
        <w:numPr>
          <w:ilvl w:val="1"/>
          <w:numId w:val="9"/>
        </w:numPr>
        <w:spacing w:after="0" w:line="240" w:lineRule="auto"/>
        <w:ind w:left="709" w:hanging="425"/>
        <w:jc w:val="both"/>
        <w:rPr>
          <w:b/>
          <w:color w:val="1F497D" w:themeColor="text2"/>
        </w:rPr>
      </w:pPr>
      <w:r>
        <w:rPr>
          <w:b/>
          <w:color w:val="1F497D" w:themeColor="text2"/>
        </w:rPr>
        <w:t>Procédures d’attribution</w:t>
      </w:r>
    </w:p>
    <w:p w:rsidR="00200029" w:rsidRDefault="00200029" w:rsidP="00200029">
      <w:pPr>
        <w:spacing w:after="0" w:line="240" w:lineRule="auto"/>
        <w:jc w:val="both"/>
        <w:rPr>
          <w:color w:val="1F497D" w:themeColor="text2"/>
        </w:rPr>
      </w:pPr>
    </w:p>
    <w:p w:rsidR="00200029" w:rsidRDefault="00200029" w:rsidP="00200029">
      <w:pPr>
        <w:spacing w:after="0" w:line="240" w:lineRule="auto"/>
        <w:jc w:val="both"/>
        <w:rPr>
          <w:color w:val="1F497D" w:themeColor="text2"/>
        </w:rPr>
      </w:pPr>
      <w:r>
        <w:rPr>
          <w:color w:val="1F497D" w:themeColor="text2"/>
        </w:rPr>
        <w:t xml:space="preserve">La procédure applicable est celle des contrats de partenariat visés aux articles 5 à 7 de l’ordonnance n° 2004-559 du 17 juin 2004 pour l’Etat et ses établissements publics et par les articles 1414-5 à 8 et D. 1414-1 à 5 </w:t>
      </w:r>
      <w:r w:rsidR="00CD0B3A">
        <w:rPr>
          <w:color w:val="1F497D" w:themeColor="text2"/>
        </w:rPr>
        <w:t xml:space="preserve">du CGCT </w:t>
      </w:r>
      <w:r>
        <w:rPr>
          <w:color w:val="1F497D" w:themeColor="text2"/>
        </w:rPr>
        <w:t>pour les collectivités locales et leurs établissements publics.</w:t>
      </w:r>
    </w:p>
    <w:p w:rsidR="00200029" w:rsidRDefault="00200029" w:rsidP="00200029">
      <w:pPr>
        <w:spacing w:after="0" w:line="240" w:lineRule="auto"/>
        <w:jc w:val="both"/>
        <w:rPr>
          <w:color w:val="1F497D" w:themeColor="text2"/>
        </w:rPr>
      </w:pPr>
    </w:p>
    <w:p w:rsidR="00200029" w:rsidRDefault="00200029" w:rsidP="00200029">
      <w:pPr>
        <w:spacing w:after="0" w:line="240" w:lineRule="auto"/>
        <w:jc w:val="both"/>
        <w:rPr>
          <w:color w:val="1F497D" w:themeColor="text2"/>
        </w:rPr>
      </w:pPr>
      <w:r>
        <w:rPr>
          <w:color w:val="1F497D" w:themeColor="text2"/>
        </w:rPr>
        <w:t>Outre l’appel d’offres, le contrat de partenariat peut être passé par la voie du dialogue compétit</w:t>
      </w:r>
      <w:r w:rsidR="00CD0B3A">
        <w:rPr>
          <w:color w:val="1F497D" w:themeColor="text2"/>
        </w:rPr>
        <w:t>if, la procédure retenue étan</w:t>
      </w:r>
      <w:r>
        <w:rPr>
          <w:color w:val="1F497D" w:themeColor="text2"/>
        </w:rPr>
        <w:t>t visée dans les avis préalables.</w:t>
      </w:r>
    </w:p>
    <w:p w:rsidR="00200029" w:rsidRDefault="00200029" w:rsidP="00200029">
      <w:pPr>
        <w:spacing w:after="0" w:line="240" w:lineRule="auto"/>
        <w:jc w:val="both"/>
        <w:rPr>
          <w:color w:val="1F497D" w:themeColor="text2"/>
        </w:rPr>
      </w:pPr>
    </w:p>
    <w:p w:rsidR="00200029" w:rsidRDefault="00200029" w:rsidP="00200029">
      <w:pPr>
        <w:spacing w:after="0" w:line="240" w:lineRule="auto"/>
        <w:jc w:val="both"/>
        <w:rPr>
          <w:color w:val="1F497D" w:themeColor="text2"/>
        </w:rPr>
      </w:pPr>
      <w:r>
        <w:rPr>
          <w:color w:val="1F497D" w:themeColor="text2"/>
        </w:rPr>
        <w:t>Le dialogue compétitif suppose que la personne publique initiatrice est objectivement dans l’impossibilité de définir seule et à l’avance les moyens techniques pouvant répondre à ses besoins ou d’établir le montage financier et juridique de l’opération. Sur la base du programme fonctionnel qu’elle élabore, elle peut discuter sur tous les aspects du contrat. Ce programme</w:t>
      </w:r>
      <w:r w:rsidR="006B65BD">
        <w:rPr>
          <w:color w:val="1F497D" w:themeColor="text2"/>
        </w:rPr>
        <w:t xml:space="preserve"> pluriannuel indique au minimum les objectifs et priorités en termes de diversification, de développement et de réhabilitation de l’offre commerciale, le calendrier prévisionnel, les caractéristiques essentielles et les conditions de mise en œuvre de l’opération.</w:t>
      </w:r>
    </w:p>
    <w:p w:rsidR="006B65BD" w:rsidRDefault="006B65BD" w:rsidP="00200029">
      <w:pPr>
        <w:spacing w:after="0" w:line="240" w:lineRule="auto"/>
        <w:jc w:val="both"/>
        <w:rPr>
          <w:color w:val="1F497D" w:themeColor="text2"/>
        </w:rPr>
      </w:pPr>
    </w:p>
    <w:p w:rsidR="006B65BD" w:rsidRPr="00CD0B3A" w:rsidRDefault="006B65BD" w:rsidP="00CD0B3A">
      <w:pPr>
        <w:spacing w:after="0" w:line="240" w:lineRule="auto"/>
        <w:jc w:val="both"/>
        <w:rPr>
          <w:color w:val="1F497D" w:themeColor="text2"/>
        </w:rPr>
      </w:pPr>
      <w:r w:rsidRPr="00CD0B3A">
        <w:rPr>
          <w:color w:val="1F497D" w:themeColor="text2"/>
        </w:rPr>
        <w:t>Un délai d’au moins 40 jours doit s’écouler entre la date d’envoi de l’avis et la date de réception des candidatures, il peut être réduit de 7 jours en cas de voie électronique.</w:t>
      </w:r>
    </w:p>
    <w:p w:rsidR="00CD0B3A" w:rsidRDefault="00CD0B3A" w:rsidP="00CD0B3A">
      <w:pPr>
        <w:spacing w:after="0" w:line="240" w:lineRule="auto"/>
        <w:jc w:val="both"/>
        <w:rPr>
          <w:color w:val="1F497D" w:themeColor="text2"/>
        </w:rPr>
      </w:pPr>
    </w:p>
    <w:p w:rsidR="006B65BD" w:rsidRPr="00CD0B3A" w:rsidRDefault="006B65BD" w:rsidP="00CD0B3A">
      <w:pPr>
        <w:spacing w:after="0" w:line="240" w:lineRule="auto"/>
        <w:jc w:val="both"/>
        <w:rPr>
          <w:color w:val="1F497D" w:themeColor="text2"/>
        </w:rPr>
      </w:pPr>
      <w:r w:rsidRPr="00CD0B3A">
        <w:rPr>
          <w:color w:val="1F497D" w:themeColor="text2"/>
        </w:rPr>
        <w:t>Pour les collectivités territoriales, une commission est désignée dans les conditions susvisées au 1.5.</w:t>
      </w:r>
    </w:p>
    <w:p w:rsidR="006B65BD" w:rsidRDefault="006B65BD" w:rsidP="00200029">
      <w:pPr>
        <w:spacing w:after="0" w:line="240" w:lineRule="auto"/>
        <w:jc w:val="both"/>
        <w:rPr>
          <w:color w:val="1F497D" w:themeColor="text2"/>
        </w:rPr>
      </w:pPr>
    </w:p>
    <w:p w:rsidR="006B65BD" w:rsidRPr="006B65BD" w:rsidRDefault="001203C5" w:rsidP="006B65BD">
      <w:pPr>
        <w:pStyle w:val="Paragraphedeliste"/>
        <w:numPr>
          <w:ilvl w:val="1"/>
          <w:numId w:val="13"/>
        </w:numPr>
        <w:spacing w:after="0" w:line="240" w:lineRule="auto"/>
        <w:ind w:left="709" w:hanging="425"/>
        <w:jc w:val="both"/>
        <w:rPr>
          <w:b/>
          <w:color w:val="1F497D" w:themeColor="text2"/>
        </w:rPr>
      </w:pPr>
      <w:r>
        <w:rPr>
          <w:b/>
          <w:color w:val="1F497D" w:themeColor="text2"/>
        </w:rPr>
        <w:t>Critères de choix</w:t>
      </w:r>
    </w:p>
    <w:p w:rsidR="00200029" w:rsidRPr="00200029" w:rsidRDefault="00200029" w:rsidP="00200029">
      <w:pPr>
        <w:spacing w:after="0" w:line="240" w:lineRule="auto"/>
        <w:jc w:val="both"/>
        <w:rPr>
          <w:color w:val="1F497D" w:themeColor="text2"/>
        </w:rPr>
      </w:pPr>
    </w:p>
    <w:p w:rsidR="00E91825" w:rsidRDefault="001203C5" w:rsidP="00E91825">
      <w:pPr>
        <w:spacing w:after="0" w:line="240" w:lineRule="auto"/>
        <w:jc w:val="both"/>
        <w:rPr>
          <w:color w:val="1F497D" w:themeColor="text2"/>
        </w:rPr>
      </w:pPr>
      <w:r>
        <w:rPr>
          <w:color w:val="1F497D" w:themeColor="text2"/>
        </w:rPr>
        <w:t xml:space="preserve">C’est </w:t>
      </w:r>
      <w:r w:rsidR="00CD0B3A">
        <w:rPr>
          <w:color w:val="1F497D" w:themeColor="text2"/>
        </w:rPr>
        <w:t>l’offre économiquement la plus avantageuse</w:t>
      </w:r>
      <w:r>
        <w:rPr>
          <w:color w:val="1F497D" w:themeColor="text2"/>
        </w:rPr>
        <w:t xml:space="preserve"> qui sera retenue, le cas échéant après un dialogue permettant de définir et d’identifier les moyens propres à satisfaire au mieux les besoins.</w:t>
      </w:r>
    </w:p>
    <w:p w:rsidR="001203C5" w:rsidRDefault="001203C5" w:rsidP="00E91825">
      <w:pPr>
        <w:spacing w:after="0" w:line="240" w:lineRule="auto"/>
        <w:jc w:val="both"/>
        <w:rPr>
          <w:color w:val="1F497D" w:themeColor="text2"/>
        </w:rPr>
      </w:pPr>
    </w:p>
    <w:p w:rsidR="001203C5" w:rsidRPr="00CD0B3A" w:rsidRDefault="001203C5" w:rsidP="00CD0B3A">
      <w:pPr>
        <w:spacing w:after="0" w:line="240" w:lineRule="auto"/>
        <w:jc w:val="both"/>
        <w:rPr>
          <w:color w:val="1F497D" w:themeColor="text2"/>
        </w:rPr>
      </w:pPr>
      <w:r w:rsidRPr="00CD0B3A">
        <w:rPr>
          <w:color w:val="1F497D" w:themeColor="text2"/>
        </w:rPr>
        <w:t xml:space="preserve">Les critères d’attribution sont </w:t>
      </w:r>
      <w:r w:rsidRPr="00CD0B3A">
        <w:rPr>
          <w:b/>
          <w:color w:val="1F497D" w:themeColor="text2"/>
        </w:rPr>
        <w:t>pondérés</w:t>
      </w:r>
      <w:r w:rsidRPr="00CD0B3A">
        <w:rPr>
          <w:color w:val="1F497D" w:themeColor="text2"/>
        </w:rPr>
        <w:t>, ou en cas d’impossibilité dûment démontrée, hiérarchisés.</w:t>
      </w:r>
    </w:p>
    <w:p w:rsidR="00CD0B3A" w:rsidRDefault="00CD0B3A" w:rsidP="00CD0B3A">
      <w:pPr>
        <w:spacing w:after="0" w:line="240" w:lineRule="auto"/>
        <w:jc w:val="both"/>
        <w:rPr>
          <w:color w:val="1F497D" w:themeColor="text2"/>
        </w:rPr>
      </w:pPr>
    </w:p>
    <w:p w:rsidR="001203C5" w:rsidRPr="00CD0B3A" w:rsidRDefault="001203C5" w:rsidP="00CD0B3A">
      <w:pPr>
        <w:spacing w:after="0" w:line="240" w:lineRule="auto"/>
        <w:jc w:val="both"/>
        <w:rPr>
          <w:color w:val="1F497D" w:themeColor="text2"/>
        </w:rPr>
      </w:pPr>
      <w:r w:rsidRPr="00CD0B3A">
        <w:rPr>
          <w:color w:val="1F497D" w:themeColor="text2"/>
        </w:rPr>
        <w:t xml:space="preserve">Ils sont définis et appréciés de manière à tenir compte du coût global de l’opération </w:t>
      </w:r>
      <w:r w:rsidR="00FA3227" w:rsidRPr="00CD0B3A">
        <w:rPr>
          <w:color w:val="1F497D" w:themeColor="text2"/>
        </w:rPr>
        <w:t>au regard de son bilan prévisionnel intégrant la totalité des recettes et dépenses.</w:t>
      </w:r>
    </w:p>
    <w:p w:rsidR="00FA3227" w:rsidRDefault="00FA3227" w:rsidP="00FA3227">
      <w:pPr>
        <w:spacing w:after="0" w:line="240" w:lineRule="auto"/>
        <w:jc w:val="both"/>
        <w:rPr>
          <w:color w:val="1F497D" w:themeColor="text2"/>
        </w:rPr>
      </w:pPr>
    </w:p>
    <w:p w:rsidR="00FA3227" w:rsidRPr="006B65BD" w:rsidRDefault="00FA3227" w:rsidP="00FA3227">
      <w:pPr>
        <w:pStyle w:val="Paragraphedeliste"/>
        <w:numPr>
          <w:ilvl w:val="1"/>
          <w:numId w:val="13"/>
        </w:numPr>
        <w:spacing w:after="0" w:line="240" w:lineRule="auto"/>
        <w:ind w:left="709" w:hanging="425"/>
        <w:jc w:val="both"/>
        <w:rPr>
          <w:b/>
          <w:color w:val="1F497D" w:themeColor="text2"/>
        </w:rPr>
      </w:pPr>
      <w:r>
        <w:rPr>
          <w:b/>
          <w:color w:val="1F497D" w:themeColor="text2"/>
        </w:rPr>
        <w:t>Marché infructueux et procédure négociée</w:t>
      </w:r>
    </w:p>
    <w:p w:rsidR="00FA3227" w:rsidRDefault="00FA3227" w:rsidP="00FA3227">
      <w:pPr>
        <w:spacing w:after="0" w:line="240" w:lineRule="auto"/>
        <w:jc w:val="both"/>
        <w:rPr>
          <w:color w:val="1F497D" w:themeColor="text2"/>
        </w:rPr>
      </w:pPr>
    </w:p>
    <w:p w:rsidR="00FA3227" w:rsidRDefault="00FA3227" w:rsidP="00FA3227">
      <w:pPr>
        <w:spacing w:after="0" w:line="240" w:lineRule="auto"/>
        <w:jc w:val="both"/>
        <w:rPr>
          <w:color w:val="1F497D" w:themeColor="text2"/>
        </w:rPr>
      </w:pPr>
      <w:r>
        <w:rPr>
          <w:color w:val="1F497D" w:themeColor="text2"/>
        </w:rPr>
        <w:t xml:space="preserve">Cette </w:t>
      </w:r>
      <w:proofErr w:type="spellStart"/>
      <w:r>
        <w:rPr>
          <w:color w:val="1F497D" w:themeColor="text2"/>
        </w:rPr>
        <w:t>infructuosité</w:t>
      </w:r>
      <w:proofErr w:type="spellEnd"/>
      <w:r>
        <w:rPr>
          <w:color w:val="1F497D" w:themeColor="text2"/>
        </w:rPr>
        <w:t xml:space="preserve"> peut être due à l’absence</w:t>
      </w:r>
      <w:r w:rsidR="00787438">
        <w:rPr>
          <w:color w:val="1F497D" w:themeColor="text2"/>
        </w:rPr>
        <w:t xml:space="preserve"> de dépôt d’offre, d’offres irrégulières ou inacceptables.</w:t>
      </w:r>
    </w:p>
    <w:p w:rsidR="00787438" w:rsidRDefault="00787438" w:rsidP="00FA3227">
      <w:pPr>
        <w:spacing w:after="0" w:line="240" w:lineRule="auto"/>
        <w:jc w:val="both"/>
        <w:rPr>
          <w:color w:val="1F497D" w:themeColor="text2"/>
        </w:rPr>
      </w:pPr>
    </w:p>
    <w:p w:rsidR="00787438" w:rsidRDefault="00787438" w:rsidP="00FA3227">
      <w:pPr>
        <w:spacing w:after="0" w:line="240" w:lineRule="auto"/>
        <w:jc w:val="both"/>
        <w:rPr>
          <w:color w:val="1F497D" w:themeColor="text2"/>
        </w:rPr>
      </w:pPr>
      <w:r>
        <w:rPr>
          <w:color w:val="1F497D" w:themeColor="text2"/>
        </w:rPr>
        <w:t>Dans ce cas, dès lors que les conditions initiales du contrat ne sont pas substantiellement modifiées, peut être engagée une procédure négociée avec publication d’un avis de publicité, sauf si cette procédure est limitée aux seuls candidats qui lors de la procédure initiale ont soumis des offres conformes aux exigences formelles de la passation.</w:t>
      </w:r>
    </w:p>
    <w:p w:rsidR="00FA3227" w:rsidRDefault="00FA3227" w:rsidP="00FA3227">
      <w:pPr>
        <w:spacing w:after="0" w:line="240" w:lineRule="auto"/>
        <w:jc w:val="both"/>
        <w:rPr>
          <w:color w:val="1F497D" w:themeColor="text2"/>
        </w:rPr>
      </w:pPr>
    </w:p>
    <w:p w:rsidR="00787438" w:rsidRPr="006B65BD" w:rsidRDefault="00787438" w:rsidP="00787438">
      <w:pPr>
        <w:pStyle w:val="Paragraphedeliste"/>
        <w:numPr>
          <w:ilvl w:val="1"/>
          <w:numId w:val="13"/>
        </w:numPr>
        <w:spacing w:after="0" w:line="240" w:lineRule="auto"/>
        <w:ind w:left="709" w:hanging="425"/>
        <w:jc w:val="both"/>
        <w:rPr>
          <w:b/>
          <w:color w:val="1F497D" w:themeColor="text2"/>
        </w:rPr>
      </w:pPr>
      <w:r>
        <w:rPr>
          <w:b/>
          <w:color w:val="1F497D" w:themeColor="text2"/>
        </w:rPr>
        <w:t>Notification de l’attribution et avis d’attribution</w:t>
      </w:r>
    </w:p>
    <w:p w:rsidR="00FA3227" w:rsidRPr="00FA3227" w:rsidRDefault="00FA3227" w:rsidP="00FA3227">
      <w:pPr>
        <w:spacing w:after="0" w:line="240" w:lineRule="auto"/>
        <w:jc w:val="both"/>
        <w:rPr>
          <w:color w:val="1F497D" w:themeColor="text2"/>
        </w:rPr>
      </w:pPr>
    </w:p>
    <w:p w:rsidR="001203C5" w:rsidRPr="001203C5" w:rsidRDefault="00787438" w:rsidP="001203C5">
      <w:pPr>
        <w:spacing w:after="0" w:line="240" w:lineRule="auto"/>
        <w:jc w:val="both"/>
        <w:rPr>
          <w:color w:val="1F497D" w:themeColor="text2"/>
        </w:rPr>
      </w:pPr>
      <w:r>
        <w:rPr>
          <w:color w:val="1F497D" w:themeColor="text2"/>
        </w:rPr>
        <w:t>Voir supra : 1.6 et 1.7</w:t>
      </w:r>
    </w:p>
    <w:p w:rsidR="001203C5" w:rsidRDefault="001203C5" w:rsidP="00E91825">
      <w:pPr>
        <w:spacing w:after="0" w:line="240" w:lineRule="auto"/>
        <w:jc w:val="both"/>
        <w:rPr>
          <w:color w:val="1F497D" w:themeColor="text2"/>
        </w:rPr>
      </w:pPr>
    </w:p>
    <w:p w:rsidR="00762CBC" w:rsidRDefault="00762CBC" w:rsidP="00E91825">
      <w:pPr>
        <w:spacing w:after="0" w:line="240" w:lineRule="auto"/>
        <w:jc w:val="both"/>
        <w:rPr>
          <w:color w:val="1F497D" w:themeColor="text2"/>
        </w:rPr>
      </w:pPr>
    </w:p>
    <w:p w:rsidR="00762CBC" w:rsidRDefault="00762CBC" w:rsidP="00E91825">
      <w:pPr>
        <w:spacing w:after="0" w:line="240" w:lineRule="auto"/>
        <w:jc w:val="both"/>
        <w:rPr>
          <w:color w:val="1F497D" w:themeColor="text2"/>
        </w:rPr>
      </w:pPr>
    </w:p>
    <w:p w:rsidR="00762CBC" w:rsidRDefault="00762CBC" w:rsidP="00E91825">
      <w:pPr>
        <w:spacing w:after="0" w:line="240" w:lineRule="auto"/>
        <w:jc w:val="both"/>
        <w:rPr>
          <w:color w:val="1F497D" w:themeColor="text2"/>
        </w:rPr>
      </w:pPr>
      <w:bookmarkStart w:id="0" w:name="_GoBack"/>
      <w:bookmarkEnd w:id="0"/>
    </w:p>
    <w:p w:rsidR="00E91825" w:rsidRPr="00787438" w:rsidRDefault="00787438" w:rsidP="00787438">
      <w:pPr>
        <w:pStyle w:val="Paragraphedeliste"/>
        <w:numPr>
          <w:ilvl w:val="0"/>
          <w:numId w:val="1"/>
        </w:numPr>
        <w:spacing w:after="0" w:line="240" w:lineRule="auto"/>
        <w:ind w:left="284" w:hanging="284"/>
        <w:jc w:val="both"/>
        <w:rPr>
          <w:b/>
          <w:smallCaps/>
          <w:color w:val="1F497D" w:themeColor="text2"/>
        </w:rPr>
      </w:pPr>
      <w:r w:rsidRPr="00787438">
        <w:rPr>
          <w:b/>
          <w:smallCaps/>
          <w:color w:val="1F497D" w:themeColor="text2"/>
        </w:rPr>
        <w:lastRenderedPageBreak/>
        <w:t>Contrats soumis à une procédure adaptée</w:t>
      </w:r>
    </w:p>
    <w:p w:rsidR="00787438" w:rsidRDefault="00787438" w:rsidP="00E91825">
      <w:pPr>
        <w:spacing w:after="0" w:line="240" w:lineRule="auto"/>
        <w:jc w:val="both"/>
        <w:rPr>
          <w:color w:val="1F497D" w:themeColor="text2"/>
        </w:rPr>
      </w:pPr>
    </w:p>
    <w:p w:rsidR="00787438" w:rsidRPr="00787438" w:rsidRDefault="00787438" w:rsidP="00787438">
      <w:pPr>
        <w:pStyle w:val="Paragraphedeliste"/>
        <w:numPr>
          <w:ilvl w:val="1"/>
          <w:numId w:val="16"/>
        </w:numPr>
        <w:spacing w:after="0" w:line="240" w:lineRule="auto"/>
        <w:ind w:left="709" w:hanging="425"/>
        <w:jc w:val="both"/>
        <w:rPr>
          <w:b/>
          <w:color w:val="1F497D" w:themeColor="text2"/>
        </w:rPr>
      </w:pPr>
      <w:r w:rsidRPr="00787438">
        <w:rPr>
          <w:b/>
          <w:color w:val="1F497D" w:themeColor="text2"/>
        </w:rPr>
        <w:t>Notification de l’attribution et avis d’attribution</w:t>
      </w:r>
    </w:p>
    <w:p w:rsidR="00787438" w:rsidRDefault="00787438" w:rsidP="00E91825">
      <w:pPr>
        <w:spacing w:after="0" w:line="240" w:lineRule="auto"/>
        <w:jc w:val="both"/>
        <w:rPr>
          <w:color w:val="1F497D" w:themeColor="text2"/>
        </w:rPr>
      </w:pPr>
    </w:p>
    <w:p w:rsidR="00787438" w:rsidRDefault="00787438" w:rsidP="00E91825">
      <w:pPr>
        <w:spacing w:after="0" w:line="240" w:lineRule="auto"/>
        <w:jc w:val="both"/>
        <w:rPr>
          <w:color w:val="1F497D" w:themeColor="text2"/>
        </w:rPr>
      </w:pPr>
      <w:r>
        <w:rPr>
          <w:color w:val="1F497D" w:themeColor="text2"/>
        </w:rPr>
        <w:t>Le montant total des produits de l’opération est inférieur aux seuils mentionnés supra</w:t>
      </w:r>
      <w:r w:rsidR="00931E0B">
        <w:rPr>
          <w:color w:val="1F497D" w:themeColor="text2"/>
        </w:rPr>
        <w:t xml:space="preserve"> pour les concessions et les marchés publics.</w:t>
      </w:r>
    </w:p>
    <w:p w:rsidR="00931E0B" w:rsidRDefault="00931E0B" w:rsidP="00E91825">
      <w:pPr>
        <w:spacing w:after="0" w:line="240" w:lineRule="auto"/>
        <w:jc w:val="both"/>
        <w:rPr>
          <w:color w:val="1F497D" w:themeColor="text2"/>
        </w:rPr>
      </w:pPr>
    </w:p>
    <w:p w:rsidR="00931E0B" w:rsidRPr="00787438" w:rsidRDefault="00931E0B" w:rsidP="00931E0B">
      <w:pPr>
        <w:pStyle w:val="Paragraphedeliste"/>
        <w:numPr>
          <w:ilvl w:val="1"/>
          <w:numId w:val="16"/>
        </w:numPr>
        <w:spacing w:after="0" w:line="240" w:lineRule="auto"/>
        <w:ind w:left="709" w:hanging="425"/>
        <w:jc w:val="both"/>
        <w:rPr>
          <w:b/>
          <w:color w:val="1F497D" w:themeColor="text2"/>
        </w:rPr>
      </w:pPr>
      <w:r>
        <w:rPr>
          <w:b/>
          <w:color w:val="1F497D" w:themeColor="text2"/>
        </w:rPr>
        <w:t>Procédure</w:t>
      </w:r>
    </w:p>
    <w:p w:rsidR="00931E0B" w:rsidRDefault="00931E0B" w:rsidP="00E91825">
      <w:pPr>
        <w:spacing w:after="0" w:line="240" w:lineRule="auto"/>
        <w:jc w:val="both"/>
        <w:rPr>
          <w:color w:val="1F497D" w:themeColor="text2"/>
        </w:rPr>
      </w:pPr>
    </w:p>
    <w:p w:rsidR="00931E0B" w:rsidRDefault="00931E0B" w:rsidP="00E91825">
      <w:pPr>
        <w:spacing w:after="0" w:line="240" w:lineRule="auto"/>
        <w:jc w:val="both"/>
        <w:rPr>
          <w:color w:val="1F497D" w:themeColor="text2"/>
        </w:rPr>
      </w:pPr>
      <w:r>
        <w:rPr>
          <w:color w:val="1F497D" w:themeColor="text2"/>
        </w:rPr>
        <w:t>La publicité préalable et la procédure d’attribution adaptée sont fixées par la personne publique initiat</w:t>
      </w:r>
      <w:r w:rsidR="00CD0B3A">
        <w:rPr>
          <w:color w:val="1F497D" w:themeColor="text2"/>
        </w:rPr>
        <w:t>rice eu égard à la nature et aux</w:t>
      </w:r>
      <w:r>
        <w:rPr>
          <w:color w:val="1F497D" w:themeColor="text2"/>
        </w:rPr>
        <w:t xml:space="preserve"> caractéristique de l’opération.</w:t>
      </w:r>
    </w:p>
    <w:p w:rsidR="00931E0B" w:rsidRDefault="00931E0B" w:rsidP="00E91825">
      <w:pPr>
        <w:spacing w:after="0" w:line="240" w:lineRule="auto"/>
        <w:jc w:val="both"/>
        <w:rPr>
          <w:color w:val="1F497D" w:themeColor="text2"/>
        </w:rPr>
      </w:pPr>
    </w:p>
    <w:p w:rsidR="00931E0B" w:rsidRPr="00CD0B3A" w:rsidRDefault="00931E0B" w:rsidP="00CD0B3A">
      <w:pPr>
        <w:spacing w:after="0" w:line="240" w:lineRule="auto"/>
        <w:jc w:val="both"/>
        <w:rPr>
          <w:color w:val="1F497D" w:themeColor="text2"/>
        </w:rPr>
      </w:pPr>
      <w:r w:rsidRPr="00CD0B3A">
        <w:rPr>
          <w:color w:val="1F497D" w:themeColor="text2"/>
        </w:rPr>
        <w:t>Un avis de conclusion du contrat est publié au JOUE (avis conforme au modèle européen). Cette publication rend applicable l’article R. 551-7 du Code de justice administrative à savoir la saisine de la juridiction d’un référé contractuel par des candidats évincés au plus tard le 31</w:t>
      </w:r>
      <w:r w:rsidRPr="00CD0B3A">
        <w:rPr>
          <w:color w:val="1F497D" w:themeColor="text2"/>
          <w:vertAlign w:val="superscript"/>
        </w:rPr>
        <w:t>ème</w:t>
      </w:r>
      <w:r w:rsidRPr="00CD0B3A">
        <w:rPr>
          <w:color w:val="1F497D" w:themeColor="text2"/>
        </w:rPr>
        <w:t xml:space="preserve"> suivant</w:t>
      </w:r>
      <w:r w:rsidR="00CD0B3A">
        <w:rPr>
          <w:color w:val="1F497D" w:themeColor="text2"/>
        </w:rPr>
        <w:t xml:space="preserve"> l’avis</w:t>
      </w:r>
      <w:r w:rsidRPr="00CD0B3A">
        <w:rPr>
          <w:color w:val="1F497D" w:themeColor="text2"/>
        </w:rPr>
        <w:t>. A défaut de publication, le délai de saisine est de 6 mois à compter du jour de la conclusion du contrat.</w:t>
      </w:r>
    </w:p>
    <w:p w:rsidR="00CD0B3A" w:rsidRDefault="00CD0B3A" w:rsidP="00CD0B3A">
      <w:pPr>
        <w:spacing w:after="0" w:line="240" w:lineRule="auto"/>
        <w:jc w:val="both"/>
        <w:rPr>
          <w:color w:val="1F497D" w:themeColor="text2"/>
        </w:rPr>
      </w:pPr>
    </w:p>
    <w:p w:rsidR="00931E0B" w:rsidRPr="00CD0B3A" w:rsidRDefault="00931E0B" w:rsidP="00CD0B3A">
      <w:pPr>
        <w:spacing w:after="0" w:line="240" w:lineRule="auto"/>
        <w:jc w:val="both"/>
        <w:rPr>
          <w:color w:val="1F497D" w:themeColor="text2"/>
        </w:rPr>
      </w:pPr>
      <w:r w:rsidRPr="00CD0B3A">
        <w:rPr>
          <w:color w:val="1F497D" w:themeColor="text2"/>
        </w:rPr>
        <w:t xml:space="preserve">Est </w:t>
      </w:r>
      <w:r w:rsidR="00CD0B3A">
        <w:rPr>
          <w:color w:val="1F497D" w:themeColor="text2"/>
        </w:rPr>
        <w:t xml:space="preserve">également </w:t>
      </w:r>
      <w:r w:rsidR="00395092" w:rsidRPr="00CD0B3A">
        <w:rPr>
          <w:color w:val="1F497D" w:themeColor="text2"/>
        </w:rPr>
        <w:t xml:space="preserve">publié </w:t>
      </w:r>
      <w:r w:rsidR="00CD0B3A">
        <w:rPr>
          <w:color w:val="1F497D" w:themeColor="text2"/>
        </w:rPr>
        <w:t xml:space="preserve">un avis </w:t>
      </w:r>
      <w:r w:rsidR="00395092" w:rsidRPr="00CD0B3A">
        <w:rPr>
          <w:color w:val="1F497D" w:themeColor="text2"/>
        </w:rPr>
        <w:t>(conforme au modèle européen d’intention de conclure un contrat de revitalisation, celui-ci ne peut alors être passé qu’après un délai d’au moins 11 jours après cette publication. Le respect de ce délai ferme la voie du référé contractuel (article L. 551-15 du même code) aux candidats évincés.</w:t>
      </w:r>
    </w:p>
    <w:p w:rsidR="00695570" w:rsidRDefault="00695570" w:rsidP="00CD0B3A">
      <w:pPr>
        <w:spacing w:after="0" w:line="240" w:lineRule="auto"/>
        <w:jc w:val="both"/>
        <w:rPr>
          <w:color w:val="1F497D" w:themeColor="text2"/>
        </w:rPr>
      </w:pPr>
    </w:p>
    <w:p w:rsidR="00CD0B3A" w:rsidRPr="00CD0B3A" w:rsidRDefault="00CD0B3A" w:rsidP="00CD0B3A">
      <w:pPr>
        <w:spacing w:after="0" w:line="240" w:lineRule="auto"/>
        <w:jc w:val="center"/>
        <w:rPr>
          <w:color w:val="1F497D" w:themeColor="text2"/>
        </w:rPr>
      </w:pPr>
      <w:r>
        <w:rPr>
          <w:color w:val="1F497D" w:themeColor="text2"/>
        </w:rPr>
        <w:t>-------------------</w:t>
      </w:r>
    </w:p>
    <w:sectPr w:rsidR="00CD0B3A" w:rsidRPr="00CD0B3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CBC" w:rsidRDefault="00762CBC" w:rsidP="00762CBC">
      <w:pPr>
        <w:spacing w:after="0" w:line="240" w:lineRule="auto"/>
      </w:pPr>
      <w:r>
        <w:separator/>
      </w:r>
    </w:p>
  </w:endnote>
  <w:endnote w:type="continuationSeparator" w:id="0">
    <w:p w:rsidR="00762CBC" w:rsidRDefault="00762CBC" w:rsidP="00762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921761"/>
      <w:docPartObj>
        <w:docPartGallery w:val="Page Numbers (Bottom of Page)"/>
        <w:docPartUnique/>
      </w:docPartObj>
    </w:sdtPr>
    <w:sdtContent>
      <w:p w:rsidR="00762CBC" w:rsidRDefault="00762CBC">
        <w:pPr>
          <w:pStyle w:val="Pieddepage"/>
          <w:jc w:val="right"/>
        </w:pPr>
        <w:r>
          <w:fldChar w:fldCharType="begin"/>
        </w:r>
        <w:r>
          <w:instrText>PAGE   \* MERGEFORMAT</w:instrText>
        </w:r>
        <w:r>
          <w:fldChar w:fldCharType="separate"/>
        </w:r>
        <w:r>
          <w:rPr>
            <w:noProof/>
          </w:rPr>
          <w:t>4</w:t>
        </w:r>
        <w:r>
          <w:fldChar w:fldCharType="end"/>
        </w:r>
      </w:p>
    </w:sdtContent>
  </w:sdt>
  <w:p w:rsidR="00762CBC" w:rsidRDefault="00762C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CBC" w:rsidRDefault="00762CBC" w:rsidP="00762CBC">
      <w:pPr>
        <w:spacing w:after="0" w:line="240" w:lineRule="auto"/>
      </w:pPr>
      <w:r>
        <w:separator/>
      </w:r>
    </w:p>
  </w:footnote>
  <w:footnote w:type="continuationSeparator" w:id="0">
    <w:p w:rsidR="00762CBC" w:rsidRDefault="00762CBC" w:rsidP="00762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7B"/>
    <w:multiLevelType w:val="multilevel"/>
    <w:tmpl w:val="F85C86D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7032A3B"/>
    <w:multiLevelType w:val="multilevel"/>
    <w:tmpl w:val="94CC002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nsid w:val="07E04E45"/>
    <w:multiLevelType w:val="multilevel"/>
    <w:tmpl w:val="7A0824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126A2B0D"/>
    <w:multiLevelType w:val="multilevel"/>
    <w:tmpl w:val="94CC002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13ED1D7A"/>
    <w:multiLevelType w:val="multilevel"/>
    <w:tmpl w:val="F85C86D4"/>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1A6019AA"/>
    <w:multiLevelType w:val="multilevel"/>
    <w:tmpl w:val="94CC002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2A0711BE"/>
    <w:multiLevelType w:val="multilevel"/>
    <w:tmpl w:val="7A082466"/>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nsid w:val="2B452D01"/>
    <w:multiLevelType w:val="multilevel"/>
    <w:tmpl w:val="7A082466"/>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33AF7A08"/>
    <w:multiLevelType w:val="multilevel"/>
    <w:tmpl w:val="234EE8C4"/>
    <w:lvl w:ilvl="0">
      <w:start w:val="1"/>
      <w:numFmt w:val="decimal"/>
      <w:lvlText w:val="%1."/>
      <w:lvlJc w:val="left"/>
      <w:pPr>
        <w:ind w:left="720"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4E74159"/>
    <w:multiLevelType w:val="multilevel"/>
    <w:tmpl w:val="F85C86D4"/>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nsid w:val="3CAC5AC8"/>
    <w:multiLevelType w:val="hybridMultilevel"/>
    <w:tmpl w:val="D2C4601A"/>
    <w:lvl w:ilvl="0" w:tplc="4AF4071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0E03FD"/>
    <w:multiLevelType w:val="multilevel"/>
    <w:tmpl w:val="F85C86D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5B9E05AF"/>
    <w:multiLevelType w:val="hybridMultilevel"/>
    <w:tmpl w:val="CA84DC06"/>
    <w:lvl w:ilvl="0" w:tplc="4AF4071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B63FE0"/>
    <w:multiLevelType w:val="multilevel"/>
    <w:tmpl w:val="F85C86D4"/>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nsid w:val="77D44C13"/>
    <w:multiLevelType w:val="multilevel"/>
    <w:tmpl w:val="7A0824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79BD2110"/>
    <w:multiLevelType w:val="multilevel"/>
    <w:tmpl w:val="94CC002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nsid w:val="7AA30FDA"/>
    <w:multiLevelType w:val="multilevel"/>
    <w:tmpl w:val="94CC002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8"/>
  </w:num>
  <w:num w:numId="2">
    <w:abstractNumId w:val="12"/>
  </w:num>
  <w:num w:numId="3">
    <w:abstractNumId w:val="5"/>
  </w:num>
  <w:num w:numId="4">
    <w:abstractNumId w:val="10"/>
  </w:num>
  <w:num w:numId="5">
    <w:abstractNumId w:val="1"/>
  </w:num>
  <w:num w:numId="6">
    <w:abstractNumId w:val="15"/>
  </w:num>
  <w:num w:numId="7">
    <w:abstractNumId w:val="3"/>
  </w:num>
  <w:num w:numId="8">
    <w:abstractNumId w:val="16"/>
  </w:num>
  <w:num w:numId="9">
    <w:abstractNumId w:val="14"/>
  </w:num>
  <w:num w:numId="10">
    <w:abstractNumId w:val="2"/>
  </w:num>
  <w:num w:numId="11">
    <w:abstractNumId w:val="6"/>
  </w:num>
  <w:num w:numId="12">
    <w:abstractNumId w:val="7"/>
  </w:num>
  <w:num w:numId="13">
    <w:abstractNumId w:val="13"/>
  </w:num>
  <w:num w:numId="14">
    <w:abstractNumId w:val="9"/>
  </w:num>
  <w:num w:numId="15">
    <w:abstractNumId w:val="4"/>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B0"/>
    <w:rsid w:val="00035505"/>
    <w:rsid w:val="001203C5"/>
    <w:rsid w:val="00200029"/>
    <w:rsid w:val="002D5200"/>
    <w:rsid w:val="00395092"/>
    <w:rsid w:val="00436527"/>
    <w:rsid w:val="005911E6"/>
    <w:rsid w:val="00695570"/>
    <w:rsid w:val="006B65BD"/>
    <w:rsid w:val="00762CBC"/>
    <w:rsid w:val="00787438"/>
    <w:rsid w:val="007969B0"/>
    <w:rsid w:val="007F4E44"/>
    <w:rsid w:val="0083585C"/>
    <w:rsid w:val="00931E0B"/>
    <w:rsid w:val="00B360E3"/>
    <w:rsid w:val="00BA3DB9"/>
    <w:rsid w:val="00C66757"/>
    <w:rsid w:val="00C75662"/>
    <w:rsid w:val="00CD0B3A"/>
    <w:rsid w:val="00E805E2"/>
    <w:rsid w:val="00E91825"/>
    <w:rsid w:val="00EB4CEE"/>
    <w:rsid w:val="00FA3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570"/>
    <w:pPr>
      <w:ind w:left="720"/>
      <w:contextualSpacing/>
    </w:pPr>
  </w:style>
  <w:style w:type="paragraph" w:styleId="Textedebulles">
    <w:name w:val="Balloon Text"/>
    <w:basedOn w:val="Normal"/>
    <w:link w:val="TextedebullesCar"/>
    <w:uiPriority w:val="99"/>
    <w:semiHidden/>
    <w:unhideWhenUsed/>
    <w:rsid w:val="00BA3D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DB9"/>
    <w:rPr>
      <w:rFonts w:ascii="Tahoma" w:hAnsi="Tahoma" w:cs="Tahoma"/>
      <w:sz w:val="16"/>
      <w:szCs w:val="16"/>
    </w:rPr>
  </w:style>
  <w:style w:type="paragraph" w:styleId="En-tte">
    <w:name w:val="header"/>
    <w:basedOn w:val="Normal"/>
    <w:link w:val="En-tteCar"/>
    <w:uiPriority w:val="99"/>
    <w:unhideWhenUsed/>
    <w:rsid w:val="00762CBC"/>
    <w:pPr>
      <w:tabs>
        <w:tab w:val="center" w:pos="4536"/>
        <w:tab w:val="right" w:pos="9072"/>
      </w:tabs>
      <w:spacing w:after="0" w:line="240" w:lineRule="auto"/>
    </w:pPr>
  </w:style>
  <w:style w:type="character" w:customStyle="1" w:styleId="En-tteCar">
    <w:name w:val="En-tête Car"/>
    <w:basedOn w:val="Policepardfaut"/>
    <w:link w:val="En-tte"/>
    <w:uiPriority w:val="99"/>
    <w:rsid w:val="00762CBC"/>
  </w:style>
  <w:style w:type="paragraph" w:styleId="Pieddepage">
    <w:name w:val="footer"/>
    <w:basedOn w:val="Normal"/>
    <w:link w:val="PieddepageCar"/>
    <w:uiPriority w:val="99"/>
    <w:unhideWhenUsed/>
    <w:rsid w:val="00762C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5570"/>
    <w:pPr>
      <w:ind w:left="720"/>
      <w:contextualSpacing/>
    </w:pPr>
  </w:style>
  <w:style w:type="paragraph" w:styleId="Textedebulles">
    <w:name w:val="Balloon Text"/>
    <w:basedOn w:val="Normal"/>
    <w:link w:val="TextedebullesCar"/>
    <w:uiPriority w:val="99"/>
    <w:semiHidden/>
    <w:unhideWhenUsed/>
    <w:rsid w:val="00BA3D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3DB9"/>
    <w:rPr>
      <w:rFonts w:ascii="Tahoma" w:hAnsi="Tahoma" w:cs="Tahoma"/>
      <w:sz w:val="16"/>
      <w:szCs w:val="16"/>
    </w:rPr>
  </w:style>
  <w:style w:type="paragraph" w:styleId="En-tte">
    <w:name w:val="header"/>
    <w:basedOn w:val="Normal"/>
    <w:link w:val="En-tteCar"/>
    <w:uiPriority w:val="99"/>
    <w:unhideWhenUsed/>
    <w:rsid w:val="00762CBC"/>
    <w:pPr>
      <w:tabs>
        <w:tab w:val="center" w:pos="4536"/>
        <w:tab w:val="right" w:pos="9072"/>
      </w:tabs>
      <w:spacing w:after="0" w:line="240" w:lineRule="auto"/>
    </w:pPr>
  </w:style>
  <w:style w:type="character" w:customStyle="1" w:styleId="En-tteCar">
    <w:name w:val="En-tête Car"/>
    <w:basedOn w:val="Policepardfaut"/>
    <w:link w:val="En-tte"/>
    <w:uiPriority w:val="99"/>
    <w:rsid w:val="00762CBC"/>
  </w:style>
  <w:style w:type="paragraph" w:styleId="Pieddepage">
    <w:name w:val="footer"/>
    <w:basedOn w:val="Normal"/>
    <w:link w:val="PieddepageCar"/>
    <w:uiPriority w:val="99"/>
    <w:unhideWhenUsed/>
    <w:rsid w:val="00762C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ci-paris-idf.fr/image/image_gallery?uuid=aa2e8369-7b52-4ab5-be46-47401f8c05c2&amp;groupId=10138&amp;t=13571436321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F1582340.dotm</Template>
  <TotalTime>339</TotalTime>
  <Pages>4</Pages>
  <Words>1252</Words>
  <Characters>6889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CCIP</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FOURNIER Stéphanie</dc:creator>
  <cp:lastModifiedBy>MORENO Dominique</cp:lastModifiedBy>
  <cp:revision>11</cp:revision>
  <cp:lastPrinted>2015-07-07T12:37:00Z</cp:lastPrinted>
  <dcterms:created xsi:type="dcterms:W3CDTF">2015-07-07T07:14:00Z</dcterms:created>
  <dcterms:modified xsi:type="dcterms:W3CDTF">2015-07-16T10:54:00Z</dcterms:modified>
</cp:coreProperties>
</file>